
<file path=[Content_Types].xml><?xml version="1.0" encoding="utf-8"?>
<Types xmlns="http://schemas.openxmlformats.org/package/2006/content-types">
  <Default Extension="png" ContentType="image/png"/>
  <Default Extension="xlsm" ContentType="application/vnd.ms-excel.sheet.macroEnabled.12"/>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C6" w:rsidRDefault="00BC07C6" w:rsidP="00BC07C6">
      <w:pPr>
        <w:jc w:val="center"/>
        <w:rPr>
          <w:sz w:val="36"/>
          <w:szCs w:val="36"/>
        </w:rPr>
      </w:pPr>
    </w:p>
    <w:p w:rsidR="00BC07C6" w:rsidRDefault="00BC07C6" w:rsidP="00BC07C6">
      <w:pPr>
        <w:jc w:val="center"/>
        <w:rPr>
          <w:sz w:val="36"/>
          <w:szCs w:val="36"/>
        </w:rPr>
      </w:pPr>
    </w:p>
    <w:p w:rsidR="00BC07C6" w:rsidRPr="00E16E1E" w:rsidRDefault="00BC07C6" w:rsidP="00BC07C6">
      <w:pPr>
        <w:jc w:val="center"/>
        <w:rPr>
          <w:b/>
          <w:sz w:val="36"/>
          <w:szCs w:val="36"/>
        </w:rPr>
      </w:pPr>
      <w:r w:rsidRPr="00E16E1E">
        <w:rPr>
          <w:b/>
          <w:sz w:val="36"/>
          <w:szCs w:val="36"/>
        </w:rPr>
        <w:t>University College Dublin</w:t>
      </w:r>
    </w:p>
    <w:p w:rsidR="00BC07C6" w:rsidRPr="00E16E1E" w:rsidRDefault="00BC07C6" w:rsidP="00BC07C6">
      <w:pPr>
        <w:jc w:val="center"/>
        <w:rPr>
          <w:b/>
          <w:sz w:val="36"/>
          <w:szCs w:val="36"/>
        </w:rPr>
      </w:pPr>
    </w:p>
    <w:p w:rsidR="00BC07C6" w:rsidRPr="00E16E1E" w:rsidRDefault="00BC07C6" w:rsidP="00BC07C6">
      <w:pPr>
        <w:jc w:val="center"/>
        <w:rPr>
          <w:b/>
          <w:sz w:val="36"/>
          <w:szCs w:val="36"/>
        </w:rPr>
      </w:pPr>
    </w:p>
    <w:p w:rsidR="00BC07C6" w:rsidRPr="008041EF" w:rsidRDefault="00BC07C6" w:rsidP="00BC07C6">
      <w:pPr>
        <w:jc w:val="center"/>
        <w:rPr>
          <w:b/>
          <w:sz w:val="28"/>
          <w:szCs w:val="28"/>
        </w:rPr>
      </w:pPr>
      <w:r w:rsidRPr="008041EF">
        <w:rPr>
          <w:b/>
          <w:sz w:val="28"/>
          <w:szCs w:val="28"/>
        </w:rPr>
        <w:t xml:space="preserve">Annual </w:t>
      </w:r>
      <w:bookmarkStart w:id="0" w:name="_GoBack"/>
      <w:bookmarkEnd w:id="0"/>
      <w:r w:rsidRPr="008041EF">
        <w:rPr>
          <w:b/>
          <w:sz w:val="28"/>
          <w:szCs w:val="28"/>
        </w:rPr>
        <w:t xml:space="preserve">Report on </w:t>
      </w:r>
    </w:p>
    <w:p w:rsidR="00BC07C6" w:rsidRPr="008041EF" w:rsidRDefault="00BC07C6" w:rsidP="00BC07C6">
      <w:pPr>
        <w:jc w:val="center"/>
        <w:rPr>
          <w:b/>
          <w:sz w:val="28"/>
          <w:szCs w:val="28"/>
        </w:rPr>
      </w:pPr>
      <w:r w:rsidRPr="008041EF">
        <w:rPr>
          <w:b/>
          <w:sz w:val="28"/>
          <w:szCs w:val="28"/>
        </w:rPr>
        <w:t xml:space="preserve">UCD Taught Collaborative / Transnational </w:t>
      </w:r>
    </w:p>
    <w:p w:rsidR="00BC07C6" w:rsidRDefault="00BC07C6" w:rsidP="00BC07C6">
      <w:pPr>
        <w:jc w:val="center"/>
        <w:rPr>
          <w:b/>
          <w:sz w:val="28"/>
          <w:szCs w:val="28"/>
        </w:rPr>
      </w:pPr>
      <w:r w:rsidRPr="008041EF">
        <w:rPr>
          <w:b/>
          <w:sz w:val="28"/>
          <w:szCs w:val="28"/>
        </w:rPr>
        <w:t>Education</w:t>
      </w:r>
      <w:r>
        <w:rPr>
          <w:b/>
          <w:sz w:val="28"/>
          <w:szCs w:val="28"/>
        </w:rPr>
        <w:t>al</w:t>
      </w:r>
      <w:r w:rsidRPr="008041EF">
        <w:rPr>
          <w:b/>
          <w:sz w:val="28"/>
          <w:szCs w:val="28"/>
        </w:rPr>
        <w:t xml:space="preserve"> Provision</w:t>
      </w:r>
    </w:p>
    <w:p w:rsidR="00BC07C6" w:rsidRPr="008041EF" w:rsidRDefault="00BC07C6" w:rsidP="00BC07C6">
      <w:pPr>
        <w:jc w:val="center"/>
        <w:rPr>
          <w:b/>
          <w:sz w:val="28"/>
          <w:szCs w:val="28"/>
        </w:rPr>
      </w:pPr>
      <w:r>
        <w:rPr>
          <w:b/>
          <w:sz w:val="28"/>
          <w:szCs w:val="28"/>
        </w:rPr>
        <w:t>2012-13</w:t>
      </w:r>
    </w:p>
    <w:p w:rsidR="00BC07C6" w:rsidRPr="00E16E1E" w:rsidRDefault="00BC07C6" w:rsidP="00BC07C6">
      <w:pPr>
        <w:rPr>
          <w:sz w:val="36"/>
          <w:szCs w:val="36"/>
        </w:rPr>
      </w:pPr>
    </w:p>
    <w:p w:rsidR="00BC07C6" w:rsidRDefault="00BC07C6" w:rsidP="00BC07C6"/>
    <w:sdt>
      <w:sdtPr>
        <w:id w:val="1240366214"/>
        <w:docPartObj>
          <w:docPartGallery w:val="Cover Pages"/>
          <w:docPartUnique/>
        </w:docPartObj>
      </w:sdtPr>
      <w:sdtEndPr>
        <w:rPr>
          <w:b/>
          <w:bCs/>
          <w:sz w:val="24"/>
          <w:szCs w:val="24"/>
        </w:rPr>
      </w:sdtEndPr>
      <w:sdtContent>
        <w:p w:rsidR="00BC07C6" w:rsidRDefault="00BC07C6" w:rsidP="00BC07C6"/>
        <w:p w:rsidR="00BC07C6" w:rsidRDefault="00BC07C6" w:rsidP="00BC07C6"/>
        <w:p w:rsidR="00BC07C6" w:rsidRDefault="00BC07C6" w:rsidP="00BC07C6"/>
        <w:p w:rsidR="00BC07C6" w:rsidRDefault="00BC07C6" w:rsidP="00BC07C6">
          <w:pPr>
            <w:rPr>
              <w:b/>
              <w:bCs/>
              <w:sz w:val="24"/>
              <w:szCs w:val="24"/>
            </w:rPr>
          </w:pPr>
        </w:p>
        <w:p w:rsidR="00BC07C6" w:rsidRDefault="00BC07C6" w:rsidP="00BC07C6">
          <w:pPr>
            <w:rPr>
              <w:b/>
              <w:bCs/>
              <w:sz w:val="24"/>
              <w:szCs w:val="24"/>
            </w:rPr>
          </w:pPr>
        </w:p>
        <w:p w:rsidR="00BC07C6" w:rsidRDefault="00BC07C6" w:rsidP="00BC07C6">
          <w:pPr>
            <w:rPr>
              <w:b/>
              <w:bCs/>
              <w:sz w:val="24"/>
              <w:szCs w:val="24"/>
            </w:rPr>
          </w:pPr>
        </w:p>
        <w:p w:rsidR="00BC07C6" w:rsidRDefault="00BC07C6" w:rsidP="00BC07C6">
          <w:pPr>
            <w:rPr>
              <w:b/>
              <w:bCs/>
              <w:sz w:val="24"/>
              <w:szCs w:val="24"/>
            </w:rPr>
          </w:pPr>
        </w:p>
        <w:p w:rsidR="00BC07C6" w:rsidRDefault="00BC07C6" w:rsidP="00BC07C6">
          <w:pPr>
            <w:rPr>
              <w:b/>
              <w:bCs/>
              <w:sz w:val="24"/>
              <w:szCs w:val="24"/>
            </w:rPr>
          </w:pPr>
        </w:p>
        <w:p w:rsidR="00BC07C6" w:rsidRDefault="00BC07C6" w:rsidP="00BC07C6">
          <w:pPr>
            <w:rPr>
              <w:b/>
              <w:bCs/>
              <w:sz w:val="24"/>
              <w:szCs w:val="24"/>
            </w:rPr>
          </w:pPr>
        </w:p>
        <w:p w:rsidR="00BC07C6" w:rsidRDefault="00BC07C6" w:rsidP="00BC07C6">
          <w:pPr>
            <w:rPr>
              <w:b/>
              <w:bCs/>
              <w:sz w:val="24"/>
              <w:szCs w:val="24"/>
            </w:rPr>
          </w:pPr>
        </w:p>
        <w:p w:rsidR="00BC07C6" w:rsidRDefault="00BC07C6" w:rsidP="00BC07C6">
          <w:pPr>
            <w:rPr>
              <w:bCs/>
              <w:sz w:val="24"/>
              <w:szCs w:val="24"/>
            </w:rPr>
          </w:pPr>
        </w:p>
        <w:p w:rsidR="00BC07C6" w:rsidRPr="00E16E1E" w:rsidRDefault="00BC07C6" w:rsidP="00BC07C6">
          <w:pPr>
            <w:jc w:val="right"/>
            <w:rPr>
              <w:bCs/>
              <w:sz w:val="24"/>
              <w:szCs w:val="24"/>
            </w:rPr>
          </w:pPr>
          <w:r w:rsidRPr="00E16E1E">
            <w:rPr>
              <w:bCs/>
              <w:sz w:val="24"/>
              <w:szCs w:val="24"/>
            </w:rPr>
            <w:t>UCD Quality Office</w:t>
          </w:r>
        </w:p>
        <w:p w:rsidR="00BC07C6" w:rsidRPr="00E16E1E" w:rsidRDefault="00BC07C6" w:rsidP="00BC07C6">
          <w:pPr>
            <w:jc w:val="right"/>
            <w:rPr>
              <w:bCs/>
              <w:sz w:val="24"/>
              <w:szCs w:val="24"/>
            </w:rPr>
          </w:pPr>
          <w:r>
            <w:rPr>
              <w:bCs/>
              <w:sz w:val="24"/>
              <w:szCs w:val="24"/>
            </w:rPr>
            <w:t>November 2013</w:t>
          </w:r>
        </w:p>
        <w:p w:rsidR="00BC07C6" w:rsidRDefault="00400533" w:rsidP="00BC07C6">
          <w:pPr>
            <w:rPr>
              <w:b/>
              <w:bCs/>
              <w:sz w:val="24"/>
              <w:szCs w:val="24"/>
            </w:rPr>
          </w:pPr>
        </w:p>
      </w:sdtContent>
    </w:sdt>
    <w:p w:rsidR="00B143D3" w:rsidRDefault="00164DB1" w:rsidP="00164DB1">
      <w:pPr>
        <w:spacing w:after="0"/>
        <w:jc w:val="right"/>
        <w:rPr>
          <w:b/>
          <w:bCs/>
          <w:sz w:val="24"/>
          <w:szCs w:val="24"/>
        </w:rPr>
      </w:pPr>
      <w:r w:rsidRPr="00164DB1">
        <w:rPr>
          <w:b/>
          <w:bCs/>
          <w:noProof/>
          <w:sz w:val="24"/>
          <w:szCs w:val="24"/>
          <w:lang w:val="en-GB" w:eastAsia="en-GB"/>
        </w:rPr>
        <w:lastRenderedPageBreak/>
        <w:drawing>
          <wp:inline distT="0" distB="0" distL="0" distR="0">
            <wp:extent cx="752475" cy="1047750"/>
            <wp:effectExtent l="1905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tretch>
                      <a:fillRect/>
                    </a:stretch>
                  </pic:blipFill>
                  <pic:spPr>
                    <a:xfrm>
                      <a:off x="0" y="0"/>
                      <a:ext cx="752475" cy="1047750"/>
                    </a:xfrm>
                    <a:prstGeom prst="rect">
                      <a:avLst/>
                    </a:prstGeom>
                  </pic:spPr>
                </pic:pic>
              </a:graphicData>
            </a:graphic>
          </wp:inline>
        </w:drawing>
      </w:r>
    </w:p>
    <w:p w:rsidR="00171262" w:rsidRDefault="00171262" w:rsidP="009900B5">
      <w:pPr>
        <w:spacing w:after="0"/>
        <w:jc w:val="center"/>
        <w:rPr>
          <w:b/>
          <w:bCs/>
          <w:sz w:val="24"/>
          <w:szCs w:val="24"/>
        </w:rPr>
      </w:pPr>
    </w:p>
    <w:p w:rsidR="00171262" w:rsidRDefault="00171262" w:rsidP="009900B5">
      <w:pPr>
        <w:spacing w:after="0"/>
        <w:jc w:val="center"/>
        <w:rPr>
          <w:b/>
          <w:bCs/>
          <w:sz w:val="24"/>
          <w:szCs w:val="24"/>
        </w:rPr>
      </w:pPr>
    </w:p>
    <w:p w:rsidR="009C11D6" w:rsidRPr="00F4230D" w:rsidRDefault="009C11D6" w:rsidP="009900B5">
      <w:pPr>
        <w:spacing w:after="0"/>
        <w:jc w:val="center"/>
        <w:rPr>
          <w:b/>
          <w:bCs/>
          <w:sz w:val="24"/>
          <w:szCs w:val="24"/>
        </w:rPr>
      </w:pPr>
      <w:r w:rsidRPr="00F4230D">
        <w:rPr>
          <w:b/>
          <w:bCs/>
          <w:sz w:val="24"/>
          <w:szCs w:val="24"/>
        </w:rPr>
        <w:t>University College Dublin</w:t>
      </w:r>
    </w:p>
    <w:p w:rsidR="00AE0E01" w:rsidRPr="00F4230D" w:rsidRDefault="00115C2E" w:rsidP="009900B5">
      <w:pPr>
        <w:spacing w:after="0"/>
        <w:jc w:val="center"/>
        <w:rPr>
          <w:b/>
          <w:bCs/>
          <w:sz w:val="24"/>
          <w:szCs w:val="24"/>
        </w:rPr>
      </w:pPr>
      <w:r w:rsidRPr="00F4230D">
        <w:rPr>
          <w:b/>
          <w:bCs/>
          <w:sz w:val="24"/>
          <w:szCs w:val="24"/>
        </w:rPr>
        <w:t>UCD Quality Office</w:t>
      </w:r>
    </w:p>
    <w:p w:rsidR="007D7606" w:rsidRPr="00F4230D" w:rsidRDefault="007D7606" w:rsidP="009900B5">
      <w:pPr>
        <w:spacing w:after="0"/>
        <w:jc w:val="both"/>
        <w:rPr>
          <w:sz w:val="24"/>
          <w:szCs w:val="24"/>
        </w:rPr>
      </w:pPr>
    </w:p>
    <w:p w:rsidR="00337292" w:rsidRDefault="00115C2E" w:rsidP="009900B5">
      <w:pPr>
        <w:spacing w:after="0"/>
        <w:jc w:val="center"/>
        <w:rPr>
          <w:b/>
          <w:sz w:val="24"/>
          <w:szCs w:val="24"/>
        </w:rPr>
      </w:pPr>
      <w:r w:rsidRPr="00F4230D">
        <w:rPr>
          <w:b/>
          <w:sz w:val="24"/>
          <w:szCs w:val="24"/>
        </w:rPr>
        <w:t>Summary Report on Taught Collabo</w:t>
      </w:r>
      <w:r w:rsidR="00337292">
        <w:rPr>
          <w:b/>
          <w:sz w:val="24"/>
          <w:szCs w:val="24"/>
        </w:rPr>
        <w:t>rative/Transnational Programme Annual Reports</w:t>
      </w:r>
    </w:p>
    <w:p w:rsidR="00115C2E" w:rsidRPr="00F4230D" w:rsidRDefault="00337292" w:rsidP="009900B5">
      <w:pPr>
        <w:spacing w:after="0"/>
        <w:jc w:val="center"/>
        <w:rPr>
          <w:b/>
          <w:sz w:val="24"/>
          <w:szCs w:val="24"/>
        </w:rPr>
      </w:pPr>
      <w:r>
        <w:rPr>
          <w:b/>
          <w:sz w:val="24"/>
          <w:szCs w:val="24"/>
        </w:rPr>
        <w:t>2012-2013</w:t>
      </w:r>
      <w:r w:rsidR="0025768A">
        <w:rPr>
          <w:b/>
          <w:sz w:val="24"/>
          <w:szCs w:val="24"/>
        </w:rPr>
        <w:t xml:space="preserve"> (Pilot Project)</w:t>
      </w:r>
    </w:p>
    <w:p w:rsidR="00171262" w:rsidRDefault="00171262" w:rsidP="009900B5">
      <w:pPr>
        <w:spacing w:after="0"/>
        <w:jc w:val="center"/>
        <w:rPr>
          <w:b/>
          <w:sz w:val="24"/>
          <w:szCs w:val="24"/>
        </w:rPr>
      </w:pPr>
    </w:p>
    <w:p w:rsidR="00F4230D" w:rsidRPr="00337292" w:rsidRDefault="00F4230D" w:rsidP="009900B5">
      <w:pPr>
        <w:spacing w:after="0"/>
        <w:jc w:val="center"/>
        <w:rPr>
          <w:b/>
          <w:sz w:val="24"/>
          <w:szCs w:val="24"/>
        </w:rPr>
      </w:pPr>
      <w:r w:rsidRPr="00F4230D">
        <w:rPr>
          <w:b/>
          <w:sz w:val="24"/>
          <w:szCs w:val="24"/>
        </w:rPr>
        <w:t>November 2013</w:t>
      </w:r>
    </w:p>
    <w:p w:rsidR="00171262" w:rsidRPr="00115C2E" w:rsidRDefault="00171262" w:rsidP="009900B5">
      <w:pPr>
        <w:spacing w:after="0"/>
        <w:jc w:val="center"/>
        <w:rPr>
          <w:b/>
        </w:rPr>
      </w:pPr>
    </w:p>
    <w:p w:rsidR="00337292" w:rsidRPr="00FB3576" w:rsidRDefault="00337292" w:rsidP="009900B5">
      <w:pPr>
        <w:spacing w:after="0"/>
        <w:jc w:val="both"/>
        <w:rPr>
          <w:u w:val="single"/>
        </w:rPr>
      </w:pPr>
    </w:p>
    <w:p w:rsidR="00B143D3" w:rsidRDefault="00115C2E" w:rsidP="009900B5">
      <w:pPr>
        <w:pStyle w:val="ListParagraph"/>
        <w:numPr>
          <w:ilvl w:val="0"/>
          <w:numId w:val="4"/>
        </w:numPr>
        <w:tabs>
          <w:tab w:val="left" w:pos="284"/>
        </w:tabs>
        <w:spacing w:after="0"/>
        <w:ind w:left="0" w:firstLine="0"/>
        <w:jc w:val="both"/>
        <w:rPr>
          <w:b/>
          <w:u w:val="single"/>
        </w:rPr>
      </w:pPr>
      <w:r w:rsidRPr="00FB3576">
        <w:rPr>
          <w:b/>
          <w:u w:val="single"/>
        </w:rPr>
        <w:t>Introduction</w:t>
      </w:r>
    </w:p>
    <w:p w:rsidR="009900B5" w:rsidRDefault="009900B5" w:rsidP="009900B5">
      <w:pPr>
        <w:pStyle w:val="ListParagraph"/>
        <w:spacing w:after="0"/>
        <w:ind w:left="284"/>
        <w:jc w:val="both"/>
      </w:pPr>
    </w:p>
    <w:p w:rsidR="00B143D3" w:rsidRDefault="00FB3576" w:rsidP="009900B5">
      <w:pPr>
        <w:pStyle w:val="ListParagraph"/>
        <w:spacing w:after="0"/>
        <w:ind w:left="284"/>
        <w:jc w:val="both"/>
      </w:pPr>
      <w:r>
        <w:t xml:space="preserve">The Qualifications and Quality Assurance Act (2012), places explicit responsibility on Awarding Bodies for the quality of their programmes delivered in partnership with ‘linked providers’ (i.e. collaborative and/or transnational arrangements).  Universities themselves will be monitored in this regard. </w:t>
      </w:r>
    </w:p>
    <w:p w:rsidR="00B143D3" w:rsidRDefault="00B143D3" w:rsidP="009900B5">
      <w:pPr>
        <w:pStyle w:val="ListParagraph"/>
        <w:spacing w:after="0"/>
        <w:ind w:left="284"/>
        <w:jc w:val="both"/>
      </w:pPr>
    </w:p>
    <w:p w:rsidR="00FB3576" w:rsidRDefault="00FB3576" w:rsidP="009900B5">
      <w:pPr>
        <w:pStyle w:val="ListParagraph"/>
        <w:spacing w:after="0"/>
        <w:ind w:left="284"/>
        <w:jc w:val="both"/>
      </w:pPr>
      <w:r>
        <w:t xml:space="preserve">In order, therefore, to </w:t>
      </w:r>
      <w:r w:rsidR="00A6474D">
        <w:t xml:space="preserve">further </w:t>
      </w:r>
      <w:r>
        <w:t xml:space="preserve">enhance institutional oversight of UCD taught programmes delivered via collaborative and/or transnational arrangements, Academic Council Committee on Quality agreed to introduce a </w:t>
      </w:r>
      <w:r w:rsidR="00063037">
        <w:t>pilot</w:t>
      </w:r>
      <w:r>
        <w:t xml:space="preserve"> process of annual reporting by relevant Programme Boards/Co-ordinator</w:t>
      </w:r>
      <w:r w:rsidR="00337292">
        <w:t xml:space="preserve">s or equivalent for 2012-13.  </w:t>
      </w:r>
      <w:r>
        <w:t>The first cycle of annual reports w</w:t>
      </w:r>
      <w:r w:rsidR="002F2136">
        <w:t>as</w:t>
      </w:r>
      <w:r>
        <w:t xml:space="preserve"> received on 30 October 2013.  </w:t>
      </w:r>
    </w:p>
    <w:p w:rsidR="00063037" w:rsidRDefault="00063037" w:rsidP="009900B5">
      <w:pPr>
        <w:pStyle w:val="ListParagraph"/>
        <w:spacing w:after="0"/>
        <w:ind w:left="284"/>
        <w:jc w:val="both"/>
      </w:pPr>
    </w:p>
    <w:p w:rsidR="00063037" w:rsidRPr="00B143D3" w:rsidRDefault="00063037" w:rsidP="009900B5">
      <w:pPr>
        <w:pStyle w:val="ListParagraph"/>
        <w:spacing w:after="0"/>
        <w:ind w:left="284"/>
        <w:jc w:val="both"/>
        <w:rPr>
          <w:b/>
          <w:u w:val="single"/>
        </w:rPr>
      </w:pPr>
      <w:r>
        <w:t>Many types of collaborative and transnational programmes exist, ranging across a spectrum of activity including: franchise, exchange, joint, co-</w:t>
      </w:r>
      <w:proofErr w:type="spellStart"/>
      <w:r>
        <w:t>tutelle</w:t>
      </w:r>
      <w:proofErr w:type="spellEnd"/>
      <w:r>
        <w:t xml:space="preserve">, branch campuses, articulation and so on.  For the purpose of this pilot annual monitoring exercise, the taught programmes covered are those described </w:t>
      </w:r>
      <w:r w:rsidR="00453C70">
        <w:t>in</w:t>
      </w:r>
      <w:r>
        <w:t xml:space="preserve"> t</w:t>
      </w:r>
      <w:r w:rsidR="00453C70">
        <w:t>he UCD Collaborative Programme R</w:t>
      </w:r>
      <w:r>
        <w:t xml:space="preserve">egister as ‘franchise’, or ‘branch </w:t>
      </w:r>
      <w:proofErr w:type="gramStart"/>
      <w:r>
        <w:t>campus’</w:t>
      </w:r>
      <w:proofErr w:type="gramEnd"/>
      <w:r>
        <w:t>.  ‘Franchising’ refers to a process by which a degree awarding institution agrees to authorise another organisatio</w:t>
      </w:r>
      <w:r w:rsidR="00453C70">
        <w:t>n t</w:t>
      </w:r>
      <w:r>
        <w:t>o deliver part or all of one (or more) of its approved programmes</w:t>
      </w:r>
      <w:r w:rsidR="005948C3" w:rsidRPr="005948C3">
        <w:rPr>
          <w:vertAlign w:val="superscript"/>
        </w:rPr>
        <w:t>1</w:t>
      </w:r>
      <w:r>
        <w:t>.  A ‘</w:t>
      </w:r>
      <w:r w:rsidR="00453C70">
        <w:t>br</w:t>
      </w:r>
      <w:r>
        <w:t>anch campus’ is a camps of an institution that is located separately from the main or ‘home’ campus of the institution</w:t>
      </w:r>
      <w:r>
        <w:rPr>
          <w:rStyle w:val="FootnoteReference"/>
        </w:rPr>
        <w:footnoteReference w:id="1"/>
      </w:r>
      <w:r>
        <w:t>.  These two types of provision were selected</w:t>
      </w:r>
      <w:r w:rsidR="00D10B25">
        <w:t xml:space="preserve"> for the pilot,</w:t>
      </w:r>
      <w:r>
        <w:t xml:space="preserve"> as </w:t>
      </w:r>
      <w:r w:rsidR="006F2C5C">
        <w:t>QQI had asked UCD to report on them as part of the institutional annual report</w:t>
      </w:r>
      <w:r w:rsidR="00D10B25">
        <w:t xml:space="preserve"> (2012) process</w:t>
      </w:r>
      <w:r w:rsidR="006F2C5C">
        <w:t>.</w:t>
      </w:r>
    </w:p>
    <w:p w:rsidR="00FB3576" w:rsidRDefault="00FB3576" w:rsidP="009900B5">
      <w:pPr>
        <w:spacing w:after="0"/>
        <w:jc w:val="both"/>
      </w:pPr>
    </w:p>
    <w:p w:rsidR="00FB3576" w:rsidRDefault="00FB3576" w:rsidP="009900B5">
      <w:pPr>
        <w:pStyle w:val="ListParagraph"/>
        <w:numPr>
          <w:ilvl w:val="0"/>
          <w:numId w:val="4"/>
        </w:numPr>
        <w:spacing w:after="0"/>
        <w:ind w:left="284" w:hanging="284"/>
        <w:jc w:val="both"/>
        <w:rPr>
          <w:b/>
          <w:u w:val="single"/>
        </w:rPr>
      </w:pPr>
      <w:r w:rsidRPr="00B143D3">
        <w:rPr>
          <w:b/>
          <w:u w:val="single"/>
        </w:rPr>
        <w:t>Methodology</w:t>
      </w:r>
    </w:p>
    <w:p w:rsidR="009900B5" w:rsidRDefault="009900B5" w:rsidP="009900B5">
      <w:pPr>
        <w:pStyle w:val="ListParagraph"/>
        <w:spacing w:after="0"/>
        <w:ind w:left="284"/>
        <w:jc w:val="both"/>
      </w:pPr>
    </w:p>
    <w:p w:rsidR="00D439F3" w:rsidRDefault="00D439F3" w:rsidP="009900B5">
      <w:pPr>
        <w:pStyle w:val="ListParagraph"/>
        <w:spacing w:after="0"/>
        <w:ind w:left="284"/>
        <w:jc w:val="both"/>
      </w:pPr>
      <w:r w:rsidRPr="00D439F3">
        <w:t xml:space="preserve">A short written, retrospective report was prepared by each Programme Board/Programme </w:t>
      </w:r>
      <w:r>
        <w:t xml:space="preserve">Co-ordinator (or equivalent) in conjunction </w:t>
      </w:r>
      <w:r w:rsidR="00337292">
        <w:t xml:space="preserve">with the collaborative partner, </w:t>
      </w:r>
      <w:r>
        <w:t xml:space="preserve">as appropriate </w:t>
      </w:r>
      <w:r w:rsidR="00337292">
        <w:t>(</w:t>
      </w:r>
      <w:r>
        <w:t xml:space="preserve">e.g. transnational provision may not involve a partner), and submitted to the UCD Quality Office by 30 </w:t>
      </w:r>
      <w:r>
        <w:lastRenderedPageBreak/>
        <w:t xml:space="preserve">October 2013. </w:t>
      </w:r>
      <w:r w:rsidR="009900B5">
        <w:t xml:space="preserve"> </w:t>
      </w:r>
      <w:proofErr w:type="gramStart"/>
      <w:r w:rsidR="00A6474D">
        <w:t>Feedback from individual programme reports have</w:t>
      </w:r>
      <w:proofErr w:type="gramEnd"/>
      <w:r w:rsidR="00A6474D">
        <w:t xml:space="preserve"> been aggregated in this report and</w:t>
      </w:r>
      <w:r>
        <w:t xml:space="preserve"> will be considered by ACCQ in December 2013.</w:t>
      </w:r>
    </w:p>
    <w:p w:rsidR="00D439F3" w:rsidRDefault="00D439F3" w:rsidP="009900B5">
      <w:pPr>
        <w:pStyle w:val="ListParagraph"/>
        <w:spacing w:after="0"/>
        <w:ind w:left="284"/>
        <w:jc w:val="both"/>
      </w:pPr>
    </w:p>
    <w:p w:rsidR="00D439F3" w:rsidRDefault="00D439F3" w:rsidP="009900B5">
      <w:pPr>
        <w:pStyle w:val="ListParagraph"/>
        <w:spacing w:after="0"/>
        <w:ind w:left="284"/>
        <w:jc w:val="both"/>
      </w:pPr>
      <w:r>
        <w:t xml:space="preserve">In order to be effective, annual reports should act as a focus for reflective evaluation </w:t>
      </w:r>
      <w:r w:rsidR="00337292">
        <w:t xml:space="preserve">by the programme team, </w:t>
      </w:r>
      <w:r>
        <w:t xml:space="preserve">of, for example, programme/partner management arrangements, the curriculum, teaching and learning, feedback from staff and students.  Reports should also look forward to the incoming year, building on the experience and lessons learned from previous years, thereby facilitating the active enhancement of the programme and student experience. </w:t>
      </w:r>
    </w:p>
    <w:p w:rsidR="00D439F3" w:rsidRDefault="00D439F3" w:rsidP="009900B5">
      <w:pPr>
        <w:pStyle w:val="ListParagraph"/>
        <w:spacing w:after="0"/>
        <w:ind w:left="284"/>
        <w:jc w:val="both"/>
      </w:pPr>
    </w:p>
    <w:p w:rsidR="00FC19C3" w:rsidRDefault="00D439F3" w:rsidP="009900B5">
      <w:pPr>
        <w:pStyle w:val="ListParagraph"/>
        <w:spacing w:after="0"/>
        <w:ind w:left="284"/>
        <w:jc w:val="both"/>
      </w:pPr>
      <w:r>
        <w:t>A report template was made available t</w:t>
      </w:r>
      <w:r w:rsidR="00D131D7">
        <w:t>o Programme Board/Co-ordinators, (See Appendix 1)</w:t>
      </w:r>
      <w:r>
        <w:t xml:space="preserve"> however, </w:t>
      </w:r>
      <w:r w:rsidR="00FC19C3">
        <w:t xml:space="preserve">in the first year of reporting, reports could be submitted in a format of their choosing, subject to a minimum set of data being provided. </w:t>
      </w:r>
    </w:p>
    <w:p w:rsidR="00171262" w:rsidRDefault="00171262" w:rsidP="009900B5">
      <w:pPr>
        <w:pStyle w:val="ListParagraph"/>
        <w:spacing w:after="0"/>
        <w:ind w:left="284"/>
        <w:jc w:val="both"/>
      </w:pPr>
    </w:p>
    <w:p w:rsidR="00164DB1" w:rsidRDefault="00164DB1" w:rsidP="009900B5">
      <w:pPr>
        <w:pStyle w:val="ListParagraph"/>
        <w:spacing w:after="0"/>
        <w:ind w:left="284"/>
        <w:jc w:val="both"/>
      </w:pPr>
    </w:p>
    <w:p w:rsidR="00FB3576" w:rsidRDefault="0097708A" w:rsidP="009900B5">
      <w:pPr>
        <w:pStyle w:val="ListParagraph"/>
        <w:numPr>
          <w:ilvl w:val="0"/>
          <w:numId w:val="4"/>
        </w:numPr>
        <w:spacing w:after="0"/>
        <w:ind w:left="284" w:hanging="284"/>
        <w:jc w:val="both"/>
        <w:rPr>
          <w:b/>
          <w:u w:val="single"/>
        </w:rPr>
      </w:pPr>
      <w:r>
        <w:rPr>
          <w:b/>
          <w:u w:val="single"/>
        </w:rPr>
        <w:t>Programme</w:t>
      </w:r>
      <w:r w:rsidR="00FB3576" w:rsidRPr="00B143D3">
        <w:rPr>
          <w:b/>
          <w:u w:val="single"/>
        </w:rPr>
        <w:t xml:space="preserve">s </w:t>
      </w:r>
      <w:r w:rsidR="00D439F3">
        <w:rPr>
          <w:b/>
          <w:u w:val="single"/>
        </w:rPr>
        <w:t>Included in</w:t>
      </w:r>
      <w:r w:rsidR="00FB3576" w:rsidRPr="00B143D3">
        <w:rPr>
          <w:b/>
          <w:u w:val="single"/>
        </w:rPr>
        <w:t xml:space="preserve"> this Report</w:t>
      </w:r>
      <w:r w:rsidR="008459F1" w:rsidRPr="008459F1">
        <w:rPr>
          <w:b/>
        </w:rPr>
        <w:t xml:space="preserve"> *</w:t>
      </w:r>
    </w:p>
    <w:p w:rsidR="00D439F3" w:rsidRDefault="00D439F3" w:rsidP="009900B5">
      <w:pPr>
        <w:pStyle w:val="ListParagraph"/>
        <w:spacing w:after="0"/>
        <w:ind w:left="284"/>
        <w:jc w:val="both"/>
        <w:rPr>
          <w:b/>
          <w:u w:val="single"/>
        </w:rPr>
      </w:pPr>
    </w:p>
    <w:tbl>
      <w:tblPr>
        <w:tblStyle w:val="TableGrid"/>
        <w:tblW w:w="10207" w:type="dxa"/>
        <w:tblInd w:w="-34" w:type="dxa"/>
        <w:tblLook w:val="04A0" w:firstRow="1" w:lastRow="0" w:firstColumn="1" w:lastColumn="0" w:noHBand="0" w:noVBand="1"/>
      </w:tblPr>
      <w:tblGrid>
        <w:gridCol w:w="2269"/>
        <w:gridCol w:w="2693"/>
        <w:gridCol w:w="3402"/>
        <w:gridCol w:w="1843"/>
      </w:tblGrid>
      <w:tr w:rsidR="00FC19C3" w:rsidRPr="00083ED7" w:rsidTr="009900B5">
        <w:trPr>
          <w:trHeight w:val="819"/>
        </w:trPr>
        <w:tc>
          <w:tcPr>
            <w:tcW w:w="2269" w:type="dxa"/>
            <w:vAlign w:val="center"/>
          </w:tcPr>
          <w:p w:rsidR="00D439F3" w:rsidRPr="00083ED7" w:rsidRDefault="00FC19C3" w:rsidP="009900B5">
            <w:pPr>
              <w:pStyle w:val="ListParagraph"/>
              <w:spacing w:line="276" w:lineRule="auto"/>
              <w:ind w:left="0"/>
              <w:jc w:val="center"/>
              <w:rPr>
                <w:b/>
              </w:rPr>
            </w:pPr>
            <w:r w:rsidRPr="00083ED7">
              <w:rPr>
                <w:b/>
              </w:rPr>
              <w:t>Partner/Transnational Campus</w:t>
            </w:r>
          </w:p>
        </w:tc>
        <w:tc>
          <w:tcPr>
            <w:tcW w:w="2693" w:type="dxa"/>
            <w:vAlign w:val="center"/>
          </w:tcPr>
          <w:p w:rsidR="00D439F3" w:rsidRPr="00083ED7" w:rsidRDefault="00FC19C3" w:rsidP="009900B5">
            <w:pPr>
              <w:pStyle w:val="ListParagraph"/>
              <w:spacing w:line="276" w:lineRule="auto"/>
              <w:ind w:left="0"/>
              <w:jc w:val="center"/>
              <w:rPr>
                <w:b/>
              </w:rPr>
            </w:pPr>
            <w:r w:rsidRPr="00083ED7">
              <w:rPr>
                <w:b/>
              </w:rPr>
              <w:t xml:space="preserve">UCD School </w:t>
            </w:r>
          </w:p>
        </w:tc>
        <w:tc>
          <w:tcPr>
            <w:tcW w:w="3402" w:type="dxa"/>
            <w:vAlign w:val="center"/>
          </w:tcPr>
          <w:p w:rsidR="00D439F3" w:rsidRPr="00083ED7" w:rsidRDefault="00FC19C3" w:rsidP="009900B5">
            <w:pPr>
              <w:pStyle w:val="ListParagraph"/>
              <w:spacing w:line="276" w:lineRule="auto"/>
              <w:ind w:left="0"/>
              <w:jc w:val="center"/>
              <w:rPr>
                <w:b/>
              </w:rPr>
            </w:pPr>
            <w:r w:rsidRPr="00083ED7">
              <w:rPr>
                <w:b/>
              </w:rPr>
              <w:t>Programme</w:t>
            </w:r>
          </w:p>
        </w:tc>
        <w:tc>
          <w:tcPr>
            <w:tcW w:w="1843" w:type="dxa"/>
            <w:vAlign w:val="center"/>
          </w:tcPr>
          <w:p w:rsidR="00D439F3" w:rsidRDefault="00FC19C3" w:rsidP="009900B5">
            <w:pPr>
              <w:pStyle w:val="ListParagraph"/>
              <w:spacing w:line="276" w:lineRule="auto"/>
              <w:ind w:left="0"/>
              <w:jc w:val="center"/>
              <w:rPr>
                <w:b/>
              </w:rPr>
            </w:pPr>
            <w:r w:rsidRPr="00083ED7">
              <w:rPr>
                <w:b/>
              </w:rPr>
              <w:t xml:space="preserve">Total Registered Students </w:t>
            </w:r>
          </w:p>
          <w:p w:rsidR="00B27EEA" w:rsidRPr="00083ED7" w:rsidRDefault="00B27EEA" w:rsidP="009900B5">
            <w:pPr>
              <w:pStyle w:val="ListParagraph"/>
              <w:spacing w:line="276" w:lineRule="auto"/>
              <w:ind w:left="0"/>
              <w:jc w:val="center"/>
              <w:rPr>
                <w:b/>
              </w:rPr>
            </w:pPr>
            <w:r>
              <w:rPr>
                <w:b/>
              </w:rPr>
              <w:t>(2012-13)</w:t>
            </w:r>
          </w:p>
        </w:tc>
      </w:tr>
      <w:tr w:rsidR="00FC19C3" w:rsidTr="009900B5">
        <w:trPr>
          <w:trHeight w:val="866"/>
        </w:trPr>
        <w:tc>
          <w:tcPr>
            <w:tcW w:w="2269" w:type="dxa"/>
            <w:vAlign w:val="center"/>
          </w:tcPr>
          <w:p w:rsidR="00D439F3" w:rsidRDefault="00FC19C3" w:rsidP="009900B5">
            <w:pPr>
              <w:pStyle w:val="ListParagraph"/>
              <w:spacing w:line="276" w:lineRule="auto"/>
              <w:ind w:left="0"/>
            </w:pPr>
            <w:proofErr w:type="spellStart"/>
            <w:r>
              <w:t>Teagasc</w:t>
            </w:r>
            <w:proofErr w:type="spellEnd"/>
          </w:p>
        </w:tc>
        <w:tc>
          <w:tcPr>
            <w:tcW w:w="2693" w:type="dxa"/>
            <w:vAlign w:val="center"/>
          </w:tcPr>
          <w:p w:rsidR="00D439F3" w:rsidRDefault="00FC19C3" w:rsidP="009900B5">
            <w:pPr>
              <w:pStyle w:val="ListParagraph"/>
              <w:spacing w:line="276" w:lineRule="auto"/>
              <w:ind w:left="0"/>
            </w:pPr>
            <w:r>
              <w:t xml:space="preserve">UCD School of Agriculture &amp; Food Science </w:t>
            </w:r>
          </w:p>
        </w:tc>
        <w:tc>
          <w:tcPr>
            <w:tcW w:w="3402" w:type="dxa"/>
            <w:vAlign w:val="center"/>
          </w:tcPr>
          <w:p w:rsidR="00D439F3" w:rsidRDefault="00FC19C3" w:rsidP="009900B5">
            <w:pPr>
              <w:pStyle w:val="ListParagraph"/>
              <w:spacing w:line="276" w:lineRule="auto"/>
              <w:ind w:left="0"/>
            </w:pPr>
            <w:proofErr w:type="spellStart"/>
            <w:r>
              <w:t>BAgrSc</w:t>
            </w:r>
            <w:proofErr w:type="spellEnd"/>
            <w:r>
              <w:t xml:space="preserve"> Dairy Business (Stage 3) (F/T)</w:t>
            </w:r>
          </w:p>
          <w:p w:rsidR="00FC19C3" w:rsidRDefault="00FC19C3" w:rsidP="009900B5">
            <w:pPr>
              <w:pStyle w:val="ListParagraph"/>
              <w:spacing w:line="276" w:lineRule="auto"/>
              <w:ind w:left="0"/>
            </w:pPr>
          </w:p>
          <w:p w:rsidR="00FC19C3" w:rsidRDefault="00FC19C3" w:rsidP="009900B5">
            <w:pPr>
              <w:pStyle w:val="ListParagraph"/>
              <w:spacing w:line="276" w:lineRule="auto"/>
              <w:ind w:left="0"/>
            </w:pPr>
            <w:r>
              <w:t>Professional Diploma in Dairy Farm Management (F/T)</w:t>
            </w:r>
          </w:p>
        </w:tc>
        <w:tc>
          <w:tcPr>
            <w:tcW w:w="1843" w:type="dxa"/>
            <w:vAlign w:val="center"/>
          </w:tcPr>
          <w:p w:rsidR="009900B5" w:rsidRDefault="009900B5" w:rsidP="009900B5">
            <w:pPr>
              <w:pStyle w:val="ListParagraph"/>
              <w:spacing w:line="276" w:lineRule="auto"/>
              <w:ind w:left="0"/>
              <w:jc w:val="center"/>
            </w:pPr>
          </w:p>
          <w:p w:rsidR="00FC19C3" w:rsidRDefault="00FC19C3" w:rsidP="009900B5">
            <w:pPr>
              <w:pStyle w:val="ListParagraph"/>
              <w:spacing w:line="276" w:lineRule="auto"/>
              <w:ind w:left="0"/>
              <w:jc w:val="center"/>
            </w:pPr>
            <w:r>
              <w:t>45</w:t>
            </w:r>
          </w:p>
          <w:p w:rsidR="00083ED7" w:rsidRDefault="00083ED7" w:rsidP="009900B5">
            <w:pPr>
              <w:pStyle w:val="ListParagraph"/>
              <w:spacing w:line="276" w:lineRule="auto"/>
              <w:ind w:left="0"/>
              <w:jc w:val="center"/>
            </w:pPr>
          </w:p>
          <w:p w:rsidR="00083ED7" w:rsidRDefault="00083ED7" w:rsidP="009900B5">
            <w:pPr>
              <w:pStyle w:val="ListParagraph"/>
              <w:spacing w:line="276" w:lineRule="auto"/>
              <w:ind w:left="0"/>
              <w:jc w:val="center"/>
            </w:pPr>
          </w:p>
          <w:p w:rsidR="00FC19C3" w:rsidRDefault="00FC19C3" w:rsidP="009900B5">
            <w:pPr>
              <w:pStyle w:val="ListParagraph"/>
              <w:spacing w:line="276" w:lineRule="auto"/>
              <w:ind w:left="0"/>
              <w:jc w:val="center"/>
            </w:pPr>
            <w:r>
              <w:t>38</w:t>
            </w:r>
          </w:p>
        </w:tc>
      </w:tr>
      <w:tr w:rsidR="00FC19C3" w:rsidTr="009900B5">
        <w:trPr>
          <w:trHeight w:val="866"/>
        </w:trPr>
        <w:tc>
          <w:tcPr>
            <w:tcW w:w="2269" w:type="dxa"/>
            <w:vAlign w:val="center"/>
          </w:tcPr>
          <w:p w:rsidR="00D439F3" w:rsidRDefault="00FC19C3" w:rsidP="009900B5">
            <w:pPr>
              <w:pStyle w:val="ListParagraph"/>
              <w:spacing w:line="276" w:lineRule="auto"/>
              <w:ind w:left="0"/>
            </w:pPr>
            <w:r>
              <w:t xml:space="preserve">Beijing Dublin International </w:t>
            </w:r>
            <w:r w:rsidR="00171262">
              <w:t xml:space="preserve">College (Beijing University of Technology) </w:t>
            </w:r>
          </w:p>
        </w:tc>
        <w:tc>
          <w:tcPr>
            <w:tcW w:w="2693" w:type="dxa"/>
            <w:vAlign w:val="center"/>
          </w:tcPr>
          <w:p w:rsidR="00D439F3" w:rsidRDefault="00171262" w:rsidP="009900B5">
            <w:pPr>
              <w:pStyle w:val="ListParagraph"/>
              <w:spacing w:line="276" w:lineRule="auto"/>
              <w:ind w:left="0"/>
            </w:pPr>
            <w:r>
              <w:t xml:space="preserve">UCD School of Computer Science and Informatics </w:t>
            </w:r>
          </w:p>
        </w:tc>
        <w:tc>
          <w:tcPr>
            <w:tcW w:w="3402" w:type="dxa"/>
            <w:vAlign w:val="center"/>
          </w:tcPr>
          <w:p w:rsidR="00D439F3" w:rsidRDefault="00171262" w:rsidP="009900B5">
            <w:pPr>
              <w:pStyle w:val="ListParagraph"/>
              <w:spacing w:line="276" w:lineRule="auto"/>
              <w:ind w:left="0"/>
            </w:pPr>
            <w:r>
              <w:t>BSc Internet of Things Emerging (F/T)</w:t>
            </w:r>
          </w:p>
        </w:tc>
        <w:tc>
          <w:tcPr>
            <w:tcW w:w="1843" w:type="dxa"/>
            <w:vAlign w:val="center"/>
          </w:tcPr>
          <w:p w:rsidR="00D439F3" w:rsidRDefault="00171262" w:rsidP="009900B5">
            <w:pPr>
              <w:pStyle w:val="ListParagraph"/>
              <w:spacing w:line="276" w:lineRule="auto"/>
              <w:ind w:left="0"/>
              <w:jc w:val="center"/>
            </w:pPr>
            <w:r>
              <w:t>24</w:t>
            </w:r>
          </w:p>
        </w:tc>
      </w:tr>
      <w:tr w:rsidR="00FC19C3" w:rsidTr="009900B5">
        <w:trPr>
          <w:trHeight w:val="819"/>
        </w:trPr>
        <w:tc>
          <w:tcPr>
            <w:tcW w:w="2269" w:type="dxa"/>
            <w:vAlign w:val="center"/>
          </w:tcPr>
          <w:p w:rsidR="00D439F3" w:rsidRDefault="00171262" w:rsidP="009900B5">
            <w:pPr>
              <w:pStyle w:val="ListParagraph"/>
              <w:spacing w:line="276" w:lineRule="auto"/>
              <w:ind w:left="0"/>
            </w:pPr>
            <w:r>
              <w:t>Kaplan, Singapore</w:t>
            </w:r>
          </w:p>
        </w:tc>
        <w:tc>
          <w:tcPr>
            <w:tcW w:w="2693" w:type="dxa"/>
            <w:vAlign w:val="center"/>
          </w:tcPr>
          <w:p w:rsidR="00D439F3" w:rsidRDefault="00171262" w:rsidP="009900B5">
            <w:pPr>
              <w:pStyle w:val="ListParagraph"/>
              <w:spacing w:line="276" w:lineRule="auto"/>
              <w:ind w:left="0"/>
            </w:pPr>
            <w:r>
              <w:t>UCD School of Business</w:t>
            </w:r>
          </w:p>
        </w:tc>
        <w:tc>
          <w:tcPr>
            <w:tcW w:w="3402" w:type="dxa"/>
            <w:vAlign w:val="center"/>
          </w:tcPr>
          <w:p w:rsidR="00B27EEA" w:rsidRDefault="00B27EEA" w:rsidP="009900B5">
            <w:pPr>
              <w:pStyle w:val="ListParagraph"/>
              <w:spacing w:line="276" w:lineRule="auto"/>
              <w:ind w:left="0"/>
            </w:pPr>
            <w:r>
              <w:t>MSc (Logistics and Supply Chain Mgmt., HRM, Management, Marketing, IT, Project Mgmt.)</w:t>
            </w:r>
          </w:p>
          <w:p w:rsidR="00D439F3" w:rsidRDefault="00171262" w:rsidP="009900B5">
            <w:pPr>
              <w:pStyle w:val="ListParagraph"/>
              <w:spacing w:line="276" w:lineRule="auto"/>
              <w:ind w:left="0"/>
            </w:pPr>
            <w:r>
              <w:t xml:space="preserve">(F/T &amp; P/T) </w:t>
            </w:r>
          </w:p>
          <w:p w:rsidR="00171262" w:rsidRDefault="00171262" w:rsidP="009900B5">
            <w:pPr>
              <w:pStyle w:val="ListParagraph"/>
              <w:spacing w:line="276" w:lineRule="auto"/>
              <w:ind w:left="0"/>
            </w:pPr>
          </w:p>
          <w:p w:rsidR="00B27EEA" w:rsidRDefault="00B27EEA" w:rsidP="009900B5">
            <w:pPr>
              <w:pStyle w:val="ListParagraph"/>
              <w:spacing w:line="276" w:lineRule="auto"/>
              <w:ind w:left="0"/>
            </w:pPr>
            <w:r>
              <w:t xml:space="preserve">BSc (Finance, IT, HRM, </w:t>
            </w:r>
            <w:r w:rsidR="00171262">
              <w:t>Management, Marketing, Logistics</w:t>
            </w:r>
            <w:r>
              <w:t>, Banking &amp; Wealth Mgmt.</w:t>
            </w:r>
            <w:r w:rsidR="00171262">
              <w:t>)</w:t>
            </w:r>
          </w:p>
          <w:p w:rsidR="00171262" w:rsidRDefault="00171262" w:rsidP="009900B5">
            <w:pPr>
              <w:pStyle w:val="ListParagraph"/>
              <w:spacing w:line="276" w:lineRule="auto"/>
              <w:ind w:left="0"/>
            </w:pPr>
            <w:r>
              <w:t xml:space="preserve">(F/T &amp; P/T) </w:t>
            </w:r>
          </w:p>
        </w:tc>
        <w:tc>
          <w:tcPr>
            <w:tcW w:w="1843" w:type="dxa"/>
            <w:vAlign w:val="center"/>
          </w:tcPr>
          <w:p w:rsidR="00D439F3" w:rsidRDefault="00171262" w:rsidP="009900B5">
            <w:pPr>
              <w:pStyle w:val="ListParagraph"/>
              <w:spacing w:line="276" w:lineRule="auto"/>
              <w:ind w:left="0"/>
              <w:jc w:val="center"/>
            </w:pPr>
            <w:r>
              <w:t>261</w:t>
            </w:r>
          </w:p>
          <w:p w:rsidR="00171262" w:rsidRDefault="00171262" w:rsidP="009900B5">
            <w:pPr>
              <w:pStyle w:val="ListParagraph"/>
              <w:spacing w:line="276" w:lineRule="auto"/>
              <w:ind w:left="0"/>
              <w:jc w:val="center"/>
            </w:pPr>
          </w:p>
          <w:p w:rsidR="00171262" w:rsidRDefault="00171262" w:rsidP="009900B5">
            <w:pPr>
              <w:pStyle w:val="ListParagraph"/>
              <w:spacing w:line="276" w:lineRule="auto"/>
              <w:ind w:left="0"/>
              <w:jc w:val="center"/>
            </w:pPr>
          </w:p>
          <w:p w:rsidR="00171262" w:rsidRDefault="00171262" w:rsidP="009900B5">
            <w:pPr>
              <w:pStyle w:val="ListParagraph"/>
              <w:spacing w:line="276" w:lineRule="auto"/>
              <w:ind w:left="0"/>
              <w:jc w:val="center"/>
            </w:pPr>
          </w:p>
          <w:p w:rsidR="00B27EEA" w:rsidRDefault="00B27EEA" w:rsidP="009900B5">
            <w:pPr>
              <w:pStyle w:val="ListParagraph"/>
              <w:spacing w:line="276" w:lineRule="auto"/>
              <w:ind w:left="0"/>
              <w:jc w:val="center"/>
            </w:pPr>
          </w:p>
          <w:p w:rsidR="00171262" w:rsidRDefault="00171262" w:rsidP="009900B5">
            <w:pPr>
              <w:pStyle w:val="ListParagraph"/>
              <w:spacing w:line="276" w:lineRule="auto"/>
              <w:ind w:left="0"/>
              <w:jc w:val="center"/>
            </w:pPr>
            <w:r>
              <w:t>2,982</w:t>
            </w:r>
          </w:p>
        </w:tc>
      </w:tr>
      <w:tr w:rsidR="00FC19C3" w:rsidTr="009900B5">
        <w:trPr>
          <w:trHeight w:val="866"/>
        </w:trPr>
        <w:tc>
          <w:tcPr>
            <w:tcW w:w="2269" w:type="dxa"/>
            <w:vAlign w:val="center"/>
          </w:tcPr>
          <w:p w:rsidR="00D439F3" w:rsidRDefault="00171262" w:rsidP="009900B5">
            <w:pPr>
              <w:pStyle w:val="ListParagraph"/>
              <w:spacing w:line="276" w:lineRule="auto"/>
              <w:ind w:left="0"/>
            </w:pPr>
            <w:r>
              <w:t>Kaplan, Hong Kong</w:t>
            </w:r>
          </w:p>
        </w:tc>
        <w:tc>
          <w:tcPr>
            <w:tcW w:w="2693" w:type="dxa"/>
            <w:vAlign w:val="center"/>
          </w:tcPr>
          <w:p w:rsidR="00D439F3" w:rsidRDefault="00171262" w:rsidP="009900B5">
            <w:pPr>
              <w:pStyle w:val="ListParagraph"/>
              <w:spacing w:line="276" w:lineRule="auto"/>
              <w:ind w:left="0"/>
            </w:pPr>
            <w:r>
              <w:t>UCD School of Business</w:t>
            </w:r>
          </w:p>
        </w:tc>
        <w:tc>
          <w:tcPr>
            <w:tcW w:w="3402" w:type="dxa"/>
            <w:vAlign w:val="center"/>
          </w:tcPr>
          <w:p w:rsidR="00B27EEA" w:rsidRDefault="00171262" w:rsidP="009900B5">
            <w:pPr>
              <w:pStyle w:val="ListParagraph"/>
              <w:spacing w:line="276" w:lineRule="auto"/>
              <w:ind w:left="0"/>
            </w:pPr>
            <w:r>
              <w:t>MSc (</w:t>
            </w:r>
            <w:r w:rsidR="00B27EEA">
              <w:t>Logistics and Supply Chain Mgmt., HRM, Management, Marketing, IT, Project Mgmt.)</w:t>
            </w:r>
          </w:p>
          <w:p w:rsidR="00D439F3" w:rsidRDefault="00171262" w:rsidP="009900B5">
            <w:pPr>
              <w:pStyle w:val="ListParagraph"/>
              <w:spacing w:line="276" w:lineRule="auto"/>
              <w:ind w:left="0"/>
            </w:pPr>
            <w:r>
              <w:t>(F/T &amp; P/T)</w:t>
            </w:r>
          </w:p>
          <w:p w:rsidR="00171262" w:rsidRDefault="00171262" w:rsidP="009900B5">
            <w:pPr>
              <w:pStyle w:val="ListParagraph"/>
              <w:spacing w:line="276" w:lineRule="auto"/>
              <w:ind w:left="0"/>
            </w:pPr>
          </w:p>
          <w:p w:rsidR="00171262" w:rsidRDefault="00171262" w:rsidP="009900B5">
            <w:pPr>
              <w:pStyle w:val="ListParagraph"/>
              <w:spacing w:line="276" w:lineRule="auto"/>
              <w:ind w:left="0"/>
            </w:pPr>
            <w:r>
              <w:t xml:space="preserve">BBS (Finance, IT, Management, Marketing, Logistics) (F/T &amp; P/T) </w:t>
            </w:r>
          </w:p>
        </w:tc>
        <w:tc>
          <w:tcPr>
            <w:tcW w:w="1843" w:type="dxa"/>
            <w:vAlign w:val="center"/>
          </w:tcPr>
          <w:p w:rsidR="00D439F3" w:rsidRDefault="00171262" w:rsidP="009900B5">
            <w:pPr>
              <w:pStyle w:val="ListParagraph"/>
              <w:spacing w:line="276" w:lineRule="auto"/>
              <w:ind w:left="0"/>
              <w:jc w:val="center"/>
            </w:pPr>
            <w:r>
              <w:t>48</w:t>
            </w:r>
          </w:p>
          <w:p w:rsidR="00171262" w:rsidRDefault="00171262" w:rsidP="009900B5">
            <w:pPr>
              <w:pStyle w:val="ListParagraph"/>
              <w:spacing w:line="276" w:lineRule="auto"/>
              <w:ind w:left="0"/>
              <w:jc w:val="center"/>
            </w:pPr>
          </w:p>
          <w:p w:rsidR="00171262" w:rsidRDefault="00171262" w:rsidP="009900B5">
            <w:pPr>
              <w:pStyle w:val="ListParagraph"/>
              <w:spacing w:line="276" w:lineRule="auto"/>
              <w:ind w:left="0"/>
              <w:jc w:val="center"/>
            </w:pPr>
          </w:p>
          <w:p w:rsidR="00171262" w:rsidRDefault="00171262" w:rsidP="009900B5">
            <w:pPr>
              <w:pStyle w:val="ListParagraph"/>
              <w:spacing w:line="276" w:lineRule="auto"/>
              <w:ind w:left="0"/>
              <w:jc w:val="center"/>
            </w:pPr>
          </w:p>
          <w:p w:rsidR="00171262" w:rsidRDefault="00171262" w:rsidP="009900B5">
            <w:pPr>
              <w:pStyle w:val="ListParagraph"/>
              <w:spacing w:line="276" w:lineRule="auto"/>
              <w:ind w:left="0"/>
              <w:jc w:val="center"/>
            </w:pPr>
          </w:p>
          <w:p w:rsidR="00171262" w:rsidRDefault="00171262" w:rsidP="009900B5">
            <w:pPr>
              <w:pStyle w:val="ListParagraph"/>
              <w:spacing w:line="276" w:lineRule="auto"/>
              <w:ind w:left="0"/>
              <w:jc w:val="center"/>
            </w:pPr>
            <w:r>
              <w:t>352</w:t>
            </w:r>
          </w:p>
        </w:tc>
      </w:tr>
      <w:tr w:rsidR="00FC19C3" w:rsidTr="009900B5">
        <w:trPr>
          <w:trHeight w:val="819"/>
        </w:trPr>
        <w:tc>
          <w:tcPr>
            <w:tcW w:w="2269" w:type="dxa"/>
            <w:tcBorders>
              <w:bottom w:val="single" w:sz="4" w:space="0" w:color="auto"/>
            </w:tcBorders>
            <w:vAlign w:val="center"/>
          </w:tcPr>
          <w:p w:rsidR="00171262" w:rsidRDefault="00171262" w:rsidP="009900B5">
            <w:pPr>
              <w:pStyle w:val="ListParagraph"/>
              <w:spacing w:line="276" w:lineRule="auto"/>
              <w:ind w:left="0"/>
            </w:pPr>
            <w:r>
              <w:lastRenderedPageBreak/>
              <w:t xml:space="preserve">National Institute of Business Management, </w:t>
            </w:r>
          </w:p>
          <w:p w:rsidR="00D439F3" w:rsidRDefault="00171262" w:rsidP="009900B5">
            <w:pPr>
              <w:pStyle w:val="ListParagraph"/>
              <w:spacing w:line="276" w:lineRule="auto"/>
              <w:ind w:left="0"/>
            </w:pPr>
            <w:r>
              <w:t>Sri Lanka</w:t>
            </w:r>
          </w:p>
        </w:tc>
        <w:tc>
          <w:tcPr>
            <w:tcW w:w="2693" w:type="dxa"/>
            <w:tcBorders>
              <w:bottom w:val="single" w:sz="4" w:space="0" w:color="auto"/>
            </w:tcBorders>
            <w:vAlign w:val="center"/>
          </w:tcPr>
          <w:p w:rsidR="00D439F3" w:rsidRDefault="00171262" w:rsidP="009900B5">
            <w:pPr>
              <w:pStyle w:val="ListParagraph"/>
              <w:spacing w:line="276" w:lineRule="auto"/>
              <w:ind w:left="0"/>
            </w:pPr>
            <w:r>
              <w:t>UCD School of Business</w:t>
            </w:r>
          </w:p>
        </w:tc>
        <w:tc>
          <w:tcPr>
            <w:tcW w:w="3402" w:type="dxa"/>
            <w:tcBorders>
              <w:bottom w:val="single" w:sz="4" w:space="0" w:color="auto"/>
            </w:tcBorders>
            <w:vAlign w:val="center"/>
          </w:tcPr>
          <w:p w:rsidR="00D439F3" w:rsidRDefault="00B27EEA" w:rsidP="009900B5">
            <w:pPr>
              <w:pStyle w:val="ListParagraph"/>
              <w:spacing w:line="276" w:lineRule="auto"/>
              <w:ind w:left="0"/>
            </w:pPr>
            <w:r>
              <w:t>MSc (Management, IT) (P/T)</w:t>
            </w:r>
          </w:p>
          <w:p w:rsidR="00171262" w:rsidRDefault="00171262" w:rsidP="009900B5">
            <w:pPr>
              <w:pStyle w:val="ListParagraph"/>
              <w:spacing w:line="276" w:lineRule="auto"/>
              <w:ind w:left="0"/>
            </w:pPr>
          </w:p>
          <w:p w:rsidR="00171262" w:rsidRDefault="00171262" w:rsidP="009900B5">
            <w:pPr>
              <w:pStyle w:val="ListParagraph"/>
              <w:spacing w:line="276" w:lineRule="auto"/>
              <w:ind w:left="0"/>
            </w:pPr>
            <w:r>
              <w:t xml:space="preserve">BSc </w:t>
            </w:r>
            <w:r w:rsidR="00B27EEA">
              <w:t>(</w:t>
            </w:r>
            <w:r>
              <w:t>Management Information Systems</w:t>
            </w:r>
            <w:r w:rsidR="00B27EEA">
              <w:t xml:space="preserve">, Management, HRM) (P/T) </w:t>
            </w:r>
          </w:p>
        </w:tc>
        <w:tc>
          <w:tcPr>
            <w:tcW w:w="1843" w:type="dxa"/>
            <w:vAlign w:val="center"/>
          </w:tcPr>
          <w:p w:rsidR="00D439F3" w:rsidRDefault="00171262" w:rsidP="009900B5">
            <w:pPr>
              <w:pStyle w:val="ListParagraph"/>
              <w:spacing w:line="276" w:lineRule="auto"/>
              <w:ind w:left="0"/>
              <w:jc w:val="center"/>
            </w:pPr>
            <w:r>
              <w:t>46</w:t>
            </w:r>
          </w:p>
          <w:p w:rsidR="00171262" w:rsidRDefault="00171262" w:rsidP="009900B5">
            <w:pPr>
              <w:pStyle w:val="ListParagraph"/>
              <w:spacing w:line="276" w:lineRule="auto"/>
              <w:ind w:left="0"/>
              <w:jc w:val="center"/>
            </w:pPr>
          </w:p>
          <w:p w:rsidR="00B27EEA" w:rsidRDefault="00B27EEA" w:rsidP="009900B5">
            <w:pPr>
              <w:pStyle w:val="ListParagraph"/>
              <w:spacing w:line="276" w:lineRule="auto"/>
              <w:ind w:left="0"/>
              <w:jc w:val="center"/>
            </w:pPr>
          </w:p>
          <w:p w:rsidR="00171262" w:rsidRDefault="00171262" w:rsidP="009900B5">
            <w:pPr>
              <w:pStyle w:val="ListParagraph"/>
              <w:spacing w:line="276" w:lineRule="auto"/>
              <w:ind w:left="0"/>
              <w:jc w:val="center"/>
            </w:pPr>
            <w:r>
              <w:t>1,015</w:t>
            </w:r>
          </w:p>
        </w:tc>
      </w:tr>
      <w:tr w:rsidR="00453C70" w:rsidTr="009900B5">
        <w:trPr>
          <w:trHeight w:val="819"/>
        </w:trPr>
        <w:tc>
          <w:tcPr>
            <w:tcW w:w="2269" w:type="dxa"/>
            <w:tcBorders>
              <w:bottom w:val="single" w:sz="4" w:space="0" w:color="auto"/>
            </w:tcBorders>
            <w:vAlign w:val="center"/>
          </w:tcPr>
          <w:p w:rsidR="00453C70" w:rsidRDefault="00453C70" w:rsidP="009900B5">
            <w:pPr>
              <w:pStyle w:val="ListParagraph"/>
              <w:ind w:left="0"/>
            </w:pPr>
            <w:r>
              <w:t xml:space="preserve">Centro De </w:t>
            </w:r>
            <w:proofErr w:type="spellStart"/>
            <w:r>
              <w:t>Estudios</w:t>
            </w:r>
            <w:proofErr w:type="spellEnd"/>
            <w:r>
              <w:t xml:space="preserve"> </w:t>
            </w:r>
            <w:proofErr w:type="spellStart"/>
            <w:r>
              <w:t>Superiores</w:t>
            </w:r>
            <w:proofErr w:type="spellEnd"/>
            <w:r>
              <w:t xml:space="preserve"> </w:t>
            </w:r>
            <w:proofErr w:type="spellStart"/>
            <w:r>
              <w:t>Universitas</w:t>
            </w:r>
            <w:proofErr w:type="spellEnd"/>
            <w:r>
              <w:t xml:space="preserve"> De Galicia (CESUGA)**</w:t>
            </w:r>
          </w:p>
        </w:tc>
        <w:tc>
          <w:tcPr>
            <w:tcW w:w="2693" w:type="dxa"/>
            <w:tcBorders>
              <w:bottom w:val="single" w:sz="4" w:space="0" w:color="auto"/>
            </w:tcBorders>
            <w:vAlign w:val="center"/>
          </w:tcPr>
          <w:p w:rsidR="00453C70" w:rsidRDefault="00453C70" w:rsidP="009900B5">
            <w:pPr>
              <w:pStyle w:val="ListParagraph"/>
              <w:ind w:left="0"/>
            </w:pPr>
            <w:r>
              <w:t>UCD Sch</w:t>
            </w:r>
            <w:r w:rsidR="0065430B">
              <w:t>o</w:t>
            </w:r>
            <w:r>
              <w:t>ol of Architecture</w:t>
            </w:r>
          </w:p>
        </w:tc>
        <w:tc>
          <w:tcPr>
            <w:tcW w:w="3402" w:type="dxa"/>
            <w:tcBorders>
              <w:bottom w:val="single" w:sz="4" w:space="0" w:color="auto"/>
            </w:tcBorders>
            <w:vAlign w:val="center"/>
          </w:tcPr>
          <w:p w:rsidR="00453C70" w:rsidRDefault="00453C70" w:rsidP="009900B5">
            <w:pPr>
              <w:pStyle w:val="ListParagraph"/>
              <w:ind w:left="0"/>
            </w:pPr>
            <w:proofErr w:type="spellStart"/>
            <w:r>
              <w:t>B.Arch.Sc</w:t>
            </w:r>
            <w:proofErr w:type="spellEnd"/>
            <w:r>
              <w:t xml:space="preserve"> (F/T)</w:t>
            </w:r>
          </w:p>
          <w:p w:rsidR="00453C70" w:rsidRDefault="00453C70" w:rsidP="009900B5">
            <w:pPr>
              <w:pStyle w:val="ListParagraph"/>
              <w:ind w:left="0"/>
            </w:pPr>
          </w:p>
          <w:p w:rsidR="00453C70" w:rsidRDefault="00453C70" w:rsidP="009900B5">
            <w:pPr>
              <w:pStyle w:val="ListParagraph"/>
              <w:ind w:left="0"/>
            </w:pPr>
            <w:proofErr w:type="spellStart"/>
            <w:r>
              <w:t>B.Arch</w:t>
            </w:r>
            <w:proofErr w:type="spellEnd"/>
            <w:r>
              <w:t>/</w:t>
            </w:r>
            <w:proofErr w:type="spellStart"/>
            <w:r>
              <w:t>M.Arch</w:t>
            </w:r>
            <w:proofErr w:type="spellEnd"/>
            <w:r>
              <w:t xml:space="preserve"> (F/T)</w:t>
            </w:r>
          </w:p>
        </w:tc>
        <w:tc>
          <w:tcPr>
            <w:tcW w:w="1843" w:type="dxa"/>
            <w:vAlign w:val="center"/>
          </w:tcPr>
          <w:p w:rsidR="00453C70" w:rsidRDefault="00453C70" w:rsidP="009900B5">
            <w:pPr>
              <w:pStyle w:val="ListParagraph"/>
              <w:ind w:left="0"/>
              <w:jc w:val="center"/>
            </w:pPr>
            <w:r>
              <w:t>35</w:t>
            </w:r>
          </w:p>
        </w:tc>
      </w:tr>
      <w:tr w:rsidR="00001264" w:rsidTr="009900B5">
        <w:trPr>
          <w:trHeight w:val="819"/>
        </w:trPr>
        <w:tc>
          <w:tcPr>
            <w:tcW w:w="2269" w:type="dxa"/>
            <w:tcBorders>
              <w:left w:val="nil"/>
              <w:bottom w:val="nil"/>
              <w:right w:val="nil"/>
            </w:tcBorders>
            <w:vAlign w:val="center"/>
          </w:tcPr>
          <w:p w:rsidR="00001264" w:rsidRDefault="00001264" w:rsidP="009900B5">
            <w:pPr>
              <w:pStyle w:val="ListParagraph"/>
              <w:spacing w:line="276" w:lineRule="auto"/>
              <w:ind w:left="0"/>
            </w:pPr>
          </w:p>
        </w:tc>
        <w:tc>
          <w:tcPr>
            <w:tcW w:w="2693" w:type="dxa"/>
            <w:tcBorders>
              <w:left w:val="nil"/>
              <w:bottom w:val="nil"/>
              <w:right w:val="single" w:sz="4" w:space="0" w:color="auto"/>
            </w:tcBorders>
            <w:vAlign w:val="center"/>
          </w:tcPr>
          <w:p w:rsidR="00001264" w:rsidRDefault="00001264" w:rsidP="009900B5">
            <w:pPr>
              <w:pStyle w:val="ListParagraph"/>
              <w:spacing w:line="276" w:lineRule="auto"/>
              <w:ind w:left="0"/>
            </w:pPr>
          </w:p>
        </w:tc>
        <w:tc>
          <w:tcPr>
            <w:tcW w:w="3402" w:type="dxa"/>
            <w:tcBorders>
              <w:left w:val="single" w:sz="4" w:space="0" w:color="auto"/>
            </w:tcBorders>
            <w:vAlign w:val="center"/>
          </w:tcPr>
          <w:p w:rsidR="00001264" w:rsidRDefault="00001264" w:rsidP="009900B5">
            <w:pPr>
              <w:pStyle w:val="ListParagraph"/>
              <w:spacing w:line="276" w:lineRule="auto"/>
              <w:ind w:left="0"/>
            </w:pPr>
            <w:r>
              <w:t>Total Registered Students</w:t>
            </w:r>
          </w:p>
        </w:tc>
        <w:tc>
          <w:tcPr>
            <w:tcW w:w="1843" w:type="dxa"/>
            <w:vAlign w:val="center"/>
          </w:tcPr>
          <w:p w:rsidR="00001264" w:rsidRDefault="00001264" w:rsidP="0097708A">
            <w:pPr>
              <w:pStyle w:val="ListParagraph"/>
              <w:spacing w:line="276" w:lineRule="auto"/>
              <w:ind w:left="0"/>
              <w:jc w:val="center"/>
            </w:pPr>
            <w:r>
              <w:t>4,8</w:t>
            </w:r>
            <w:r w:rsidR="00453C70">
              <w:t>46</w:t>
            </w:r>
          </w:p>
        </w:tc>
      </w:tr>
    </w:tbl>
    <w:p w:rsidR="00D439F3" w:rsidRDefault="00D439F3" w:rsidP="009900B5">
      <w:pPr>
        <w:spacing w:after="0"/>
        <w:jc w:val="both"/>
        <w:rPr>
          <w:b/>
          <w:u w:val="single"/>
        </w:rPr>
      </w:pPr>
    </w:p>
    <w:p w:rsidR="00001264" w:rsidRDefault="008459F1" w:rsidP="009900B5">
      <w:pPr>
        <w:spacing w:after="0"/>
        <w:ind w:left="284" w:hanging="284"/>
        <w:jc w:val="both"/>
      </w:pPr>
      <w:r w:rsidRPr="009900B5">
        <w:rPr>
          <w:b/>
        </w:rPr>
        <w:t xml:space="preserve">* </w:t>
      </w:r>
      <w:r w:rsidR="009900B5">
        <w:rPr>
          <w:b/>
        </w:rPr>
        <w:tab/>
      </w:r>
      <w:proofErr w:type="spellStart"/>
      <w:r w:rsidRPr="009900B5">
        <w:t>Fudan</w:t>
      </w:r>
      <w:proofErr w:type="spellEnd"/>
      <w:r w:rsidRPr="009900B5">
        <w:t xml:space="preserve"> University (UCD School of Computer Science &amp; Informatics</w:t>
      </w:r>
      <w:r w:rsidR="00A6474D" w:rsidRPr="009900B5">
        <w:t>)</w:t>
      </w:r>
      <w:r w:rsidRPr="009900B5">
        <w:t xml:space="preserve"> was excluded as this arrangement underw</w:t>
      </w:r>
      <w:r w:rsidR="00A6474D" w:rsidRPr="009900B5">
        <w:t>ent Periodic Review in May 2013</w:t>
      </w:r>
      <w:r w:rsidR="002F2136">
        <w:t>; UCD/RCSI Penang Medical School was excluded as it will undergo institutional review in May 2014</w:t>
      </w:r>
      <w:r w:rsidRPr="009900B5">
        <w:t xml:space="preserve">. </w:t>
      </w:r>
    </w:p>
    <w:p w:rsidR="00453C70" w:rsidRPr="00453C70" w:rsidRDefault="00453C70" w:rsidP="009900B5">
      <w:pPr>
        <w:spacing w:after="0"/>
        <w:ind w:left="284" w:hanging="284"/>
        <w:jc w:val="both"/>
      </w:pPr>
      <w:r w:rsidRPr="00453C70">
        <w:t xml:space="preserve">** </w:t>
      </w:r>
      <w:r>
        <w:tab/>
      </w:r>
      <w:r w:rsidRPr="00453C70">
        <w:t>Note: this arrangement will end in September 2015.</w:t>
      </w:r>
    </w:p>
    <w:p w:rsidR="00D439F3" w:rsidRPr="00FB3576" w:rsidRDefault="00D439F3" w:rsidP="009900B5">
      <w:pPr>
        <w:spacing w:after="0"/>
        <w:ind w:left="284" w:hanging="284"/>
        <w:jc w:val="both"/>
        <w:rPr>
          <w:b/>
          <w:u w:val="single"/>
        </w:rPr>
      </w:pPr>
    </w:p>
    <w:p w:rsidR="00FB3576" w:rsidRPr="00B143D3" w:rsidRDefault="00FB3576" w:rsidP="009900B5">
      <w:pPr>
        <w:pStyle w:val="ListParagraph"/>
        <w:numPr>
          <w:ilvl w:val="0"/>
          <w:numId w:val="4"/>
        </w:numPr>
        <w:spacing w:after="0"/>
        <w:ind w:left="284" w:hanging="284"/>
        <w:jc w:val="both"/>
        <w:rPr>
          <w:b/>
          <w:u w:val="single"/>
        </w:rPr>
      </w:pPr>
      <w:r w:rsidRPr="00B143D3">
        <w:rPr>
          <w:b/>
          <w:u w:val="single"/>
        </w:rPr>
        <w:t>Summary Findings from Annual Reports</w:t>
      </w:r>
      <w:r w:rsidR="00A6474D">
        <w:rPr>
          <w:b/>
          <w:u w:val="single"/>
        </w:rPr>
        <w:t xml:space="preserve"> 2012-13</w:t>
      </w:r>
    </w:p>
    <w:p w:rsidR="009900B5" w:rsidRDefault="009900B5" w:rsidP="009900B5">
      <w:pPr>
        <w:spacing w:after="0"/>
        <w:ind w:left="284"/>
        <w:jc w:val="both"/>
      </w:pPr>
    </w:p>
    <w:p w:rsidR="006F2C5C" w:rsidRDefault="006F2C5C" w:rsidP="009900B5">
      <w:pPr>
        <w:spacing w:after="0"/>
        <w:ind w:left="284"/>
        <w:jc w:val="both"/>
      </w:pPr>
      <w:r>
        <w:t>Overall the Annual Reports were completed diligently and provided evidence of appropriate reflection and engagement with the process.</w:t>
      </w:r>
    </w:p>
    <w:p w:rsidR="006F2C5C" w:rsidRDefault="006F2C5C" w:rsidP="009900B5">
      <w:pPr>
        <w:spacing w:after="0"/>
        <w:ind w:left="284"/>
        <w:jc w:val="both"/>
      </w:pPr>
    </w:p>
    <w:p w:rsidR="004B0FCA" w:rsidRDefault="001F5943" w:rsidP="009900B5">
      <w:pPr>
        <w:spacing w:after="0"/>
        <w:ind w:left="284"/>
        <w:jc w:val="both"/>
      </w:pPr>
      <w:r>
        <w:t>Evidence was provided that indicated that ongoing programme monitoring and enhancement was taking place.  Further evidence was also provided demonstrating how student fe</w:t>
      </w:r>
      <w:r w:rsidR="005B57BB">
        <w:t xml:space="preserve">edback was being responded to.  </w:t>
      </w:r>
      <w:r w:rsidR="004B0FCA">
        <w:t>An example is provided below:</w:t>
      </w:r>
    </w:p>
    <w:p w:rsidR="009900B5" w:rsidRDefault="009900B5" w:rsidP="009900B5">
      <w:pPr>
        <w:spacing w:after="0"/>
        <w:ind w:left="284"/>
        <w:jc w:val="both"/>
      </w:pPr>
    </w:p>
    <w:p w:rsidR="004B0FCA" w:rsidRPr="004B0FCA" w:rsidRDefault="004B0FCA" w:rsidP="009900B5">
      <w:pPr>
        <w:shd w:val="clear" w:color="auto" w:fill="C6D9F1" w:themeFill="text2" w:themeFillTint="33"/>
        <w:spacing w:after="0"/>
        <w:ind w:left="284"/>
        <w:jc w:val="both"/>
        <w:rPr>
          <w:u w:val="single"/>
        </w:rPr>
      </w:pPr>
      <w:r w:rsidRPr="004B0FCA">
        <w:rPr>
          <w:u w:val="single"/>
        </w:rPr>
        <w:t>Issue</w:t>
      </w:r>
    </w:p>
    <w:p w:rsidR="004B0FCA" w:rsidRDefault="004B0FCA" w:rsidP="009900B5">
      <w:pPr>
        <w:shd w:val="clear" w:color="auto" w:fill="C6D9F1" w:themeFill="text2" w:themeFillTint="33"/>
        <w:spacing w:after="0"/>
        <w:ind w:left="284"/>
        <w:jc w:val="both"/>
      </w:pPr>
      <w:r>
        <w:t>Students communicated a need to improve the orientation programme so that they could develop a better awareness of UCD</w:t>
      </w:r>
      <w:r w:rsidR="0097708A">
        <w:t>.</w:t>
      </w:r>
    </w:p>
    <w:p w:rsidR="009900B5" w:rsidRDefault="009900B5" w:rsidP="009900B5">
      <w:pPr>
        <w:shd w:val="clear" w:color="auto" w:fill="FFFFFF" w:themeFill="background1"/>
        <w:spacing w:after="0"/>
        <w:ind w:left="284"/>
        <w:jc w:val="both"/>
      </w:pPr>
    </w:p>
    <w:p w:rsidR="004B0FCA" w:rsidRPr="009900B5" w:rsidRDefault="004B0FCA" w:rsidP="009900B5">
      <w:pPr>
        <w:shd w:val="clear" w:color="auto" w:fill="4F81BD" w:themeFill="accent1"/>
        <w:spacing w:after="0"/>
        <w:ind w:left="284"/>
        <w:jc w:val="both"/>
        <w:rPr>
          <w:color w:val="FFFFFF" w:themeColor="background1"/>
          <w:u w:val="single"/>
        </w:rPr>
      </w:pPr>
      <w:r w:rsidRPr="009900B5">
        <w:rPr>
          <w:color w:val="FFFFFF" w:themeColor="background1"/>
          <w:u w:val="single"/>
        </w:rPr>
        <w:t>Response</w:t>
      </w:r>
    </w:p>
    <w:p w:rsidR="004B0FCA" w:rsidRDefault="004B0FCA" w:rsidP="009900B5">
      <w:pPr>
        <w:shd w:val="clear" w:color="auto" w:fill="4F81BD" w:themeFill="accent1"/>
        <w:spacing w:after="0"/>
        <w:ind w:left="284"/>
        <w:jc w:val="both"/>
        <w:rPr>
          <w:color w:val="FFFFFF" w:themeColor="background1"/>
        </w:rPr>
      </w:pPr>
      <w:r w:rsidRPr="009900B5">
        <w:rPr>
          <w:color w:val="FFFFFF" w:themeColor="background1"/>
        </w:rPr>
        <w:t xml:space="preserve">A new 10-session orientation programme has been developed and was launched in October 2013 on all the Schools overseas programmes. </w:t>
      </w:r>
    </w:p>
    <w:p w:rsidR="009900B5" w:rsidRDefault="009900B5" w:rsidP="009900B5">
      <w:pPr>
        <w:spacing w:after="0"/>
        <w:ind w:left="284"/>
        <w:jc w:val="both"/>
      </w:pPr>
    </w:p>
    <w:p w:rsidR="00D131D7" w:rsidRDefault="00D131D7" w:rsidP="009900B5">
      <w:pPr>
        <w:spacing w:after="0"/>
        <w:ind w:left="284"/>
        <w:jc w:val="both"/>
      </w:pPr>
      <w:r>
        <w:t xml:space="preserve">A short student survey instrument, used by </w:t>
      </w:r>
      <w:r w:rsidR="00286973">
        <w:t xml:space="preserve">one programme </w:t>
      </w:r>
      <w:r>
        <w:t xml:space="preserve">(which has been anonymised), is attached </w:t>
      </w:r>
      <w:r w:rsidR="00F41345">
        <w:t xml:space="preserve">as an exemplar </w:t>
      </w:r>
      <w:r>
        <w:t>at Appendix 2.  The survey provided a</w:t>
      </w:r>
      <w:r w:rsidRPr="009900B5">
        <w:t xml:space="preserve"> helpful</w:t>
      </w:r>
      <w:r>
        <w:t>, succinct overview of issues raised by students and</w:t>
      </w:r>
      <w:r w:rsidR="009900B5">
        <w:t xml:space="preserve"> the report went on to detail</w:t>
      </w:r>
      <w:r>
        <w:t xml:space="preserve"> how the issues would be addressed.  </w:t>
      </w:r>
    </w:p>
    <w:p w:rsidR="00D131D7" w:rsidRDefault="00D131D7" w:rsidP="009900B5">
      <w:pPr>
        <w:spacing w:after="0"/>
        <w:ind w:left="284"/>
        <w:jc w:val="both"/>
      </w:pPr>
    </w:p>
    <w:p w:rsidR="001F5943" w:rsidRDefault="005B57BB" w:rsidP="009900B5">
      <w:pPr>
        <w:spacing w:after="0"/>
        <w:ind w:left="284"/>
        <w:jc w:val="both"/>
      </w:pPr>
      <w:r>
        <w:t xml:space="preserve">All the collaborative/transnational arrangements participating in </w:t>
      </w:r>
      <w:r w:rsidR="004B0FCA">
        <w:t>the 2012-13</w:t>
      </w:r>
      <w:r>
        <w:t xml:space="preserve"> annual reporting exercise hold regular liaison meetings with partner institutions and </w:t>
      </w:r>
      <w:r w:rsidR="005102B1">
        <w:t>a record</w:t>
      </w:r>
      <w:r>
        <w:t xml:space="preserve"> of stated meetings </w:t>
      </w:r>
      <w:r w:rsidR="005102B1">
        <w:t>is</w:t>
      </w:r>
      <w:r>
        <w:t xml:space="preserve"> maintained. </w:t>
      </w:r>
    </w:p>
    <w:p w:rsidR="0097708A" w:rsidRDefault="0097708A" w:rsidP="009900B5">
      <w:pPr>
        <w:spacing w:after="0"/>
        <w:ind w:left="284"/>
        <w:jc w:val="both"/>
      </w:pPr>
    </w:p>
    <w:p w:rsidR="0097708A" w:rsidRPr="00001264" w:rsidRDefault="0097708A" w:rsidP="009900B5">
      <w:pPr>
        <w:spacing w:after="0"/>
        <w:ind w:left="284"/>
        <w:jc w:val="both"/>
      </w:pPr>
      <w:r>
        <w:t xml:space="preserve">Summary Student Degree Completion rates for relevant programmes are set out in Appendix 3. </w:t>
      </w:r>
    </w:p>
    <w:p w:rsidR="00001264" w:rsidRPr="001F5943" w:rsidRDefault="00001264" w:rsidP="009900B5">
      <w:pPr>
        <w:spacing w:after="0"/>
        <w:ind w:left="284" w:hanging="284"/>
        <w:jc w:val="both"/>
      </w:pPr>
    </w:p>
    <w:p w:rsidR="001F5943" w:rsidRPr="001F5943" w:rsidRDefault="00773689" w:rsidP="009900B5">
      <w:pPr>
        <w:spacing w:after="0"/>
        <w:ind w:left="284"/>
        <w:jc w:val="both"/>
      </w:pPr>
      <w:r>
        <w:t>The annual reports identified a n</w:t>
      </w:r>
      <w:r w:rsidR="001F5943" w:rsidRPr="001F5943">
        <w:t xml:space="preserve">umber of issues relating to </w:t>
      </w:r>
      <w:r w:rsidR="001F5943">
        <w:t>transnational arrangements</w:t>
      </w:r>
      <w:r>
        <w:t xml:space="preserve"> in particular</w:t>
      </w:r>
      <w:r w:rsidR="004B0FCA">
        <w:t>: (some of the issues identified, also arose in periodic review reports of collaborative</w:t>
      </w:r>
      <w:r w:rsidR="0097708A">
        <w:t>/transnational</w:t>
      </w:r>
      <w:r w:rsidR="004B0FCA">
        <w:t xml:space="preserve"> provision) </w:t>
      </w:r>
    </w:p>
    <w:p w:rsidR="001F5943" w:rsidRDefault="001F5943" w:rsidP="009900B5">
      <w:pPr>
        <w:spacing w:after="0"/>
        <w:ind w:left="284" w:hanging="284"/>
        <w:jc w:val="both"/>
      </w:pPr>
    </w:p>
    <w:p w:rsidR="00106C61" w:rsidRDefault="00337292" w:rsidP="0097708A">
      <w:pPr>
        <w:pStyle w:val="ListParagraph"/>
        <w:numPr>
          <w:ilvl w:val="0"/>
          <w:numId w:val="6"/>
        </w:numPr>
        <w:spacing w:after="0"/>
        <w:ind w:left="567" w:hanging="283"/>
        <w:jc w:val="both"/>
      </w:pPr>
      <w:r>
        <w:lastRenderedPageBreak/>
        <w:t>Cultural d</w:t>
      </w:r>
      <w:r w:rsidR="001F5943">
        <w:t xml:space="preserve">ifferences during </w:t>
      </w:r>
      <w:r>
        <w:t xml:space="preserve">student </w:t>
      </w:r>
      <w:r w:rsidR="001F5943">
        <w:t>assessments are a challenge – e.g. talking</w:t>
      </w:r>
      <w:r w:rsidR="00A6474D">
        <w:t xml:space="preserve"> in class, </w:t>
      </w:r>
      <w:r w:rsidR="001F5943">
        <w:t xml:space="preserve">use of concealed mobile phones </w:t>
      </w:r>
    </w:p>
    <w:p w:rsidR="00106C61" w:rsidRDefault="00106C61" w:rsidP="0097708A">
      <w:pPr>
        <w:pStyle w:val="ListParagraph"/>
        <w:spacing w:after="0"/>
        <w:ind w:left="567" w:hanging="283"/>
        <w:jc w:val="both"/>
      </w:pPr>
    </w:p>
    <w:p w:rsidR="00106C61" w:rsidRDefault="008459F1" w:rsidP="0097708A">
      <w:pPr>
        <w:pStyle w:val="ListParagraph"/>
        <w:numPr>
          <w:ilvl w:val="0"/>
          <w:numId w:val="6"/>
        </w:numPr>
        <w:spacing w:after="0"/>
        <w:ind w:left="567" w:hanging="283"/>
        <w:jc w:val="both"/>
      </w:pPr>
      <w:r>
        <w:t>Clear guidelines for the selection and appointment of lecturing staff should be available and approved by the appropriate UCD officials/bodies</w:t>
      </w:r>
    </w:p>
    <w:p w:rsidR="00106C61" w:rsidRDefault="00106C61" w:rsidP="0097708A">
      <w:pPr>
        <w:pStyle w:val="ListParagraph"/>
        <w:spacing w:after="0"/>
        <w:ind w:left="567" w:hanging="283"/>
      </w:pPr>
    </w:p>
    <w:p w:rsidR="00106C61" w:rsidRDefault="008459F1" w:rsidP="0097708A">
      <w:pPr>
        <w:pStyle w:val="ListParagraph"/>
        <w:numPr>
          <w:ilvl w:val="0"/>
          <w:numId w:val="6"/>
        </w:numPr>
        <w:spacing w:after="0"/>
        <w:ind w:left="567" w:hanging="283"/>
        <w:jc w:val="both"/>
      </w:pPr>
      <w:r>
        <w:t xml:space="preserve">Module descriptors should be regularly reviewed to ensure that alternative assessment </w:t>
      </w:r>
      <w:r w:rsidR="00106C61">
        <w:t>strategies</w:t>
      </w:r>
      <w:r>
        <w:t xml:space="preserve"> are clear in each module, giving guidance on the nature of the assessment and the likely time commitment required by the student</w:t>
      </w:r>
    </w:p>
    <w:p w:rsidR="0097708A" w:rsidRDefault="0097708A" w:rsidP="0097708A">
      <w:pPr>
        <w:pStyle w:val="ListParagraph"/>
      </w:pPr>
    </w:p>
    <w:p w:rsidR="001F5943" w:rsidRDefault="001F5943" w:rsidP="0097708A">
      <w:pPr>
        <w:pStyle w:val="ListParagraph"/>
        <w:numPr>
          <w:ilvl w:val="0"/>
          <w:numId w:val="6"/>
        </w:numPr>
        <w:spacing w:after="0"/>
        <w:ind w:left="567" w:hanging="283"/>
        <w:jc w:val="both"/>
      </w:pPr>
      <w:r>
        <w:t xml:space="preserve">Student copying is more </w:t>
      </w:r>
      <w:r w:rsidR="00232036">
        <w:t>prevalent</w:t>
      </w:r>
      <w:r>
        <w:t xml:space="preserve"> when they are under p</w:t>
      </w:r>
      <w:r w:rsidR="00232036">
        <w:t>ressure</w:t>
      </w:r>
    </w:p>
    <w:p w:rsidR="00232036" w:rsidRDefault="00232036" w:rsidP="0097708A">
      <w:pPr>
        <w:spacing w:after="0"/>
        <w:ind w:left="567" w:hanging="283"/>
        <w:jc w:val="both"/>
      </w:pPr>
    </w:p>
    <w:p w:rsidR="00232036" w:rsidRPr="001F5943" w:rsidRDefault="008459F1" w:rsidP="0097708A">
      <w:pPr>
        <w:pStyle w:val="ListParagraph"/>
        <w:numPr>
          <w:ilvl w:val="0"/>
          <w:numId w:val="6"/>
        </w:numPr>
        <w:spacing w:after="0"/>
        <w:ind w:left="567" w:hanging="283"/>
        <w:jc w:val="both"/>
      </w:pPr>
      <w:r>
        <w:t xml:space="preserve">Training/Induction sessions are essential </w:t>
      </w:r>
      <w:r w:rsidR="00232036">
        <w:t xml:space="preserve">for Teaching Assistants (NB to manage assessments consistently; how to deal with </w:t>
      </w:r>
      <w:r w:rsidR="002F2136">
        <w:t xml:space="preserve">student </w:t>
      </w:r>
      <w:r w:rsidR="00232036">
        <w:t xml:space="preserve">copying) </w:t>
      </w:r>
    </w:p>
    <w:p w:rsidR="00001264" w:rsidRPr="001F5943" w:rsidRDefault="00001264" w:rsidP="0097708A">
      <w:pPr>
        <w:spacing w:after="0"/>
        <w:ind w:left="567" w:hanging="283"/>
        <w:jc w:val="both"/>
      </w:pPr>
    </w:p>
    <w:p w:rsidR="00232036" w:rsidRDefault="00232036" w:rsidP="0097708A">
      <w:pPr>
        <w:pStyle w:val="ListParagraph"/>
        <w:numPr>
          <w:ilvl w:val="0"/>
          <w:numId w:val="6"/>
        </w:numPr>
        <w:spacing w:after="0"/>
        <w:ind w:left="567" w:hanging="283"/>
        <w:jc w:val="both"/>
      </w:pPr>
      <w:r>
        <w:t>Students should be made aware of plagiarism as part of an ongoing process</w:t>
      </w:r>
    </w:p>
    <w:p w:rsidR="00232036" w:rsidRDefault="00232036" w:rsidP="0097708A">
      <w:pPr>
        <w:spacing w:after="0"/>
        <w:ind w:left="567" w:hanging="283"/>
        <w:jc w:val="both"/>
      </w:pPr>
    </w:p>
    <w:p w:rsidR="00232036" w:rsidRDefault="00232036" w:rsidP="0097708A">
      <w:pPr>
        <w:pStyle w:val="ListParagraph"/>
        <w:numPr>
          <w:ilvl w:val="0"/>
          <w:numId w:val="6"/>
        </w:numPr>
        <w:spacing w:after="0"/>
        <w:ind w:left="567" w:hanging="283"/>
        <w:jc w:val="both"/>
      </w:pPr>
      <w:r>
        <w:t>There is benefit in structuring programmes to have a strong focus on English Language Skills development in the first semester</w:t>
      </w:r>
      <w:r w:rsidR="005B57BB">
        <w:t xml:space="preserve"> of year one</w:t>
      </w:r>
    </w:p>
    <w:p w:rsidR="004B0FCA" w:rsidRDefault="004B0FCA" w:rsidP="0097708A">
      <w:pPr>
        <w:pStyle w:val="ListParagraph"/>
        <w:spacing w:after="0"/>
        <w:ind w:left="567" w:hanging="283"/>
      </w:pPr>
    </w:p>
    <w:p w:rsidR="004B0FCA" w:rsidRDefault="004B0FCA" w:rsidP="0097708A">
      <w:pPr>
        <w:pStyle w:val="ListParagraph"/>
        <w:numPr>
          <w:ilvl w:val="0"/>
          <w:numId w:val="6"/>
        </w:numPr>
        <w:spacing w:after="0"/>
        <w:ind w:left="567" w:hanging="283"/>
        <w:jc w:val="both"/>
      </w:pPr>
      <w:r>
        <w:t xml:space="preserve">An </w:t>
      </w:r>
      <w:r w:rsidRPr="0097708A">
        <w:rPr>
          <w:i/>
        </w:rPr>
        <w:t>ad hoc</w:t>
      </w:r>
      <w:r>
        <w:t xml:space="preserve">, informal approach to collaborative programme management is no longer appropriate.  Programme management arrangements should be formally established and </w:t>
      </w:r>
      <w:r w:rsidR="0097708A">
        <w:t>appropriate records maintained</w:t>
      </w:r>
    </w:p>
    <w:p w:rsidR="00232036" w:rsidRDefault="00232036" w:rsidP="0097708A">
      <w:pPr>
        <w:spacing w:after="0"/>
        <w:ind w:left="567" w:hanging="283"/>
        <w:jc w:val="both"/>
      </w:pPr>
    </w:p>
    <w:p w:rsidR="00232036" w:rsidRDefault="00232036" w:rsidP="0097708A">
      <w:pPr>
        <w:pStyle w:val="ListParagraph"/>
        <w:numPr>
          <w:ilvl w:val="0"/>
          <w:numId w:val="6"/>
        </w:numPr>
        <w:spacing w:after="0"/>
        <w:ind w:left="567" w:hanging="283"/>
        <w:jc w:val="both"/>
      </w:pPr>
      <w:r>
        <w:t xml:space="preserve">UCD staff teaching an overseas programme should receive a comprehensive induction before joining the teaching </w:t>
      </w:r>
      <w:r w:rsidR="008459F1">
        <w:t xml:space="preserve">team </w:t>
      </w:r>
      <w:r>
        <w:t xml:space="preserve">(e.g. background to the partnership: awareness of </w:t>
      </w:r>
      <w:r w:rsidRPr="0068268D">
        <w:t>M</w:t>
      </w:r>
      <w:r w:rsidR="0068268D" w:rsidRPr="0068268D">
        <w:t>emorandum of Agreement</w:t>
      </w:r>
      <w:r>
        <w:t xml:space="preserve">; cultural issues such as attitude to </w:t>
      </w:r>
      <w:r w:rsidR="00337292">
        <w:t>plagiarism</w:t>
      </w:r>
      <w:r>
        <w:t xml:space="preserve">; student behaviour norms in class etc.) </w:t>
      </w:r>
    </w:p>
    <w:p w:rsidR="00232036" w:rsidRDefault="00232036" w:rsidP="009900B5">
      <w:pPr>
        <w:spacing w:after="0"/>
        <w:jc w:val="both"/>
      </w:pPr>
    </w:p>
    <w:p w:rsidR="00232036" w:rsidRDefault="00232036" w:rsidP="0097708A">
      <w:pPr>
        <w:pStyle w:val="ListParagraph"/>
        <w:numPr>
          <w:ilvl w:val="0"/>
          <w:numId w:val="6"/>
        </w:numPr>
        <w:spacing w:after="0"/>
        <w:ind w:left="567" w:hanging="283"/>
        <w:jc w:val="both"/>
      </w:pPr>
      <w:r>
        <w:t xml:space="preserve">Students should be actively encouraged </w:t>
      </w:r>
      <w:r w:rsidR="008459F1">
        <w:t>to take written notes in class</w:t>
      </w:r>
    </w:p>
    <w:p w:rsidR="00232036" w:rsidRDefault="00232036" w:rsidP="0097708A">
      <w:pPr>
        <w:spacing w:after="0"/>
        <w:ind w:left="567" w:hanging="283"/>
        <w:jc w:val="both"/>
      </w:pPr>
    </w:p>
    <w:p w:rsidR="00232036" w:rsidRDefault="00232036" w:rsidP="0097708A">
      <w:pPr>
        <w:pStyle w:val="ListParagraph"/>
        <w:numPr>
          <w:ilvl w:val="0"/>
          <w:numId w:val="6"/>
        </w:numPr>
        <w:spacing w:after="0"/>
        <w:ind w:left="567" w:hanging="283"/>
        <w:jc w:val="both"/>
      </w:pPr>
      <w:r>
        <w:t>The use of mobile phones to copy material from the blackboard should be prohibited</w:t>
      </w:r>
    </w:p>
    <w:p w:rsidR="00773689" w:rsidRDefault="00773689" w:rsidP="0097708A">
      <w:pPr>
        <w:pStyle w:val="ListParagraph"/>
        <w:spacing w:after="0"/>
        <w:ind w:left="567" w:hanging="283"/>
      </w:pPr>
    </w:p>
    <w:p w:rsidR="00773689" w:rsidRDefault="00773689" w:rsidP="0097708A">
      <w:pPr>
        <w:pStyle w:val="ListParagraph"/>
        <w:numPr>
          <w:ilvl w:val="0"/>
          <w:numId w:val="6"/>
        </w:numPr>
        <w:spacing w:after="0"/>
        <w:ind w:left="567" w:hanging="283"/>
        <w:jc w:val="both"/>
      </w:pPr>
      <w:r>
        <w:t>Consideration should be given to enhancing transferable skill</w:t>
      </w:r>
      <w:r w:rsidR="00FB7E34">
        <w:t xml:space="preserve">s elements in </w:t>
      </w:r>
      <w:r w:rsidR="005B57BB">
        <w:t xml:space="preserve">modules </w:t>
      </w:r>
      <w:r>
        <w:t xml:space="preserve">including: presentation skills, critical thinking etc. </w:t>
      </w:r>
    </w:p>
    <w:p w:rsidR="00232036" w:rsidRDefault="00232036" w:rsidP="009900B5">
      <w:pPr>
        <w:spacing w:after="0"/>
        <w:jc w:val="both"/>
      </w:pPr>
    </w:p>
    <w:p w:rsidR="00001264" w:rsidRPr="00FB3576" w:rsidRDefault="00001264" w:rsidP="009900B5">
      <w:pPr>
        <w:spacing w:after="0"/>
        <w:ind w:left="284" w:hanging="284"/>
        <w:jc w:val="both"/>
        <w:rPr>
          <w:b/>
          <w:u w:val="single"/>
        </w:rPr>
      </w:pPr>
    </w:p>
    <w:p w:rsidR="00FB3576" w:rsidRDefault="00FB3576" w:rsidP="009900B5">
      <w:pPr>
        <w:pStyle w:val="ListParagraph"/>
        <w:numPr>
          <w:ilvl w:val="0"/>
          <w:numId w:val="4"/>
        </w:numPr>
        <w:spacing w:after="0"/>
        <w:ind w:left="284" w:hanging="284"/>
        <w:jc w:val="both"/>
        <w:rPr>
          <w:b/>
          <w:u w:val="single"/>
        </w:rPr>
      </w:pPr>
      <w:r w:rsidRPr="00B143D3">
        <w:rPr>
          <w:b/>
          <w:u w:val="single"/>
        </w:rPr>
        <w:t xml:space="preserve">Examples of Good Practice </w:t>
      </w:r>
    </w:p>
    <w:p w:rsidR="008459F1" w:rsidRDefault="008459F1" w:rsidP="009900B5">
      <w:pPr>
        <w:spacing w:after="0"/>
        <w:ind w:left="284"/>
        <w:jc w:val="both"/>
      </w:pPr>
    </w:p>
    <w:p w:rsidR="00E63EB8" w:rsidRDefault="00E63EB8" w:rsidP="009900B5">
      <w:pPr>
        <w:spacing w:after="0"/>
        <w:ind w:left="284"/>
        <w:jc w:val="both"/>
      </w:pPr>
      <w:r w:rsidRPr="00E63EB8">
        <w:t>A number of examples of good practice were identified in the Annual Reports</w:t>
      </w:r>
      <w:r w:rsidR="00337292">
        <w:t xml:space="preserve"> (and recent Review Group Reports</w:t>
      </w:r>
      <w:r w:rsidR="0097708A">
        <w:t xml:space="preserve"> of collaborative and transnational provision</w:t>
      </w:r>
      <w:r w:rsidR="00337292">
        <w:t>)</w:t>
      </w:r>
      <w:r w:rsidRPr="00E63EB8">
        <w:t xml:space="preserve">: </w:t>
      </w:r>
    </w:p>
    <w:p w:rsidR="00E63EB8" w:rsidRDefault="00E63EB8" w:rsidP="009900B5">
      <w:pPr>
        <w:spacing w:after="0"/>
        <w:ind w:left="284"/>
        <w:jc w:val="both"/>
      </w:pPr>
    </w:p>
    <w:p w:rsidR="00106C61" w:rsidRDefault="00106C61" w:rsidP="00126917">
      <w:pPr>
        <w:pStyle w:val="ListParagraph"/>
        <w:numPr>
          <w:ilvl w:val="0"/>
          <w:numId w:val="6"/>
        </w:numPr>
        <w:spacing w:after="0"/>
        <w:ind w:left="567" w:hanging="283"/>
        <w:jc w:val="both"/>
      </w:pPr>
      <w:r>
        <w:t>Appropriate systems and control mechanisms are in place to ensure that assessment decisions are generated ensuring the reliability and validity of the assessment process</w:t>
      </w:r>
    </w:p>
    <w:p w:rsidR="00106C61" w:rsidRDefault="00106C61" w:rsidP="00126917">
      <w:pPr>
        <w:pStyle w:val="ListParagraph"/>
        <w:spacing w:after="0"/>
        <w:ind w:left="567" w:hanging="283"/>
        <w:jc w:val="both"/>
      </w:pPr>
    </w:p>
    <w:p w:rsidR="00106C61" w:rsidRDefault="00106C61" w:rsidP="00126917">
      <w:pPr>
        <w:pStyle w:val="ListParagraph"/>
        <w:numPr>
          <w:ilvl w:val="0"/>
          <w:numId w:val="6"/>
        </w:numPr>
        <w:spacing w:after="0"/>
        <w:ind w:left="567" w:hanging="283"/>
        <w:jc w:val="both"/>
      </w:pPr>
      <w:r>
        <w:t>Quality Assurance/Enhancement procedures are well documented</w:t>
      </w:r>
    </w:p>
    <w:p w:rsidR="00106C61" w:rsidRDefault="00106C61" w:rsidP="00126917">
      <w:pPr>
        <w:pStyle w:val="ListParagraph"/>
        <w:spacing w:after="0"/>
        <w:ind w:left="567" w:hanging="283"/>
      </w:pPr>
    </w:p>
    <w:p w:rsidR="00106C61" w:rsidRDefault="00106C61" w:rsidP="00126917">
      <w:pPr>
        <w:pStyle w:val="ListParagraph"/>
        <w:numPr>
          <w:ilvl w:val="0"/>
          <w:numId w:val="6"/>
        </w:numPr>
        <w:spacing w:after="0"/>
        <w:ind w:left="567" w:hanging="283"/>
        <w:jc w:val="both"/>
      </w:pPr>
      <w:r>
        <w:lastRenderedPageBreak/>
        <w:t>Student induction process is comprehensive and all students receive well thought-out information packs</w:t>
      </w:r>
    </w:p>
    <w:p w:rsidR="00106C61" w:rsidRDefault="00106C61" w:rsidP="00126917">
      <w:pPr>
        <w:pStyle w:val="ListParagraph"/>
        <w:spacing w:after="0"/>
        <w:ind w:left="567" w:hanging="283"/>
        <w:jc w:val="both"/>
      </w:pPr>
    </w:p>
    <w:p w:rsidR="008459F1" w:rsidRDefault="008459F1" w:rsidP="00126917">
      <w:pPr>
        <w:pStyle w:val="ListParagraph"/>
        <w:numPr>
          <w:ilvl w:val="0"/>
          <w:numId w:val="6"/>
        </w:numPr>
        <w:spacing w:after="0"/>
        <w:ind w:left="567" w:hanging="283"/>
        <w:jc w:val="both"/>
      </w:pPr>
      <w:r>
        <w:t xml:space="preserve">Formal programme management and record keeping are in place </w:t>
      </w:r>
      <w:r w:rsidR="00337292">
        <w:t>(e.g. changes to the programme; file note of staff: student committees)</w:t>
      </w:r>
    </w:p>
    <w:p w:rsidR="008459F1" w:rsidRDefault="008459F1" w:rsidP="00126917">
      <w:pPr>
        <w:spacing w:after="0"/>
        <w:ind w:left="567" w:hanging="283"/>
        <w:jc w:val="both"/>
      </w:pPr>
    </w:p>
    <w:p w:rsidR="008459F1" w:rsidRDefault="008459F1" w:rsidP="00126917">
      <w:pPr>
        <w:pStyle w:val="ListParagraph"/>
        <w:numPr>
          <w:ilvl w:val="0"/>
          <w:numId w:val="6"/>
        </w:numPr>
        <w:spacing w:after="0"/>
        <w:ind w:left="567" w:hanging="283"/>
        <w:jc w:val="both"/>
      </w:pPr>
      <w:r>
        <w:t xml:space="preserve">Appropriate School, College and University mechanisms are in place to routinely monitor programme operations and financial outturns </w:t>
      </w:r>
    </w:p>
    <w:p w:rsidR="008459F1" w:rsidRDefault="008459F1" w:rsidP="009900B5">
      <w:pPr>
        <w:spacing w:after="0"/>
        <w:jc w:val="both"/>
      </w:pPr>
    </w:p>
    <w:p w:rsidR="008459F1" w:rsidRDefault="008459F1" w:rsidP="00126917">
      <w:pPr>
        <w:pStyle w:val="ListParagraph"/>
        <w:numPr>
          <w:ilvl w:val="0"/>
          <w:numId w:val="6"/>
        </w:numPr>
        <w:spacing w:after="0"/>
        <w:ind w:left="567" w:hanging="283"/>
        <w:jc w:val="both"/>
      </w:pPr>
      <w:r>
        <w:t xml:space="preserve">New staff teaching on collaborative/transnational programmes receive appropriate induction e.g. programme management/monitoring arrangements, </w:t>
      </w:r>
      <w:r w:rsidR="00337292">
        <w:t>cultural differences, such as student behavioural norms in class</w:t>
      </w:r>
    </w:p>
    <w:p w:rsidR="00106C61" w:rsidRDefault="00106C61" w:rsidP="00126917">
      <w:pPr>
        <w:spacing w:after="0"/>
        <w:ind w:left="567" w:hanging="283"/>
        <w:jc w:val="both"/>
      </w:pPr>
    </w:p>
    <w:p w:rsidR="008459F1" w:rsidRDefault="008459F1" w:rsidP="00126917">
      <w:pPr>
        <w:pStyle w:val="ListParagraph"/>
        <w:numPr>
          <w:ilvl w:val="0"/>
          <w:numId w:val="6"/>
        </w:numPr>
        <w:spacing w:after="0"/>
        <w:ind w:left="567" w:hanging="283"/>
        <w:jc w:val="both"/>
      </w:pPr>
      <w:r>
        <w:t>Where appropriate, partners shoul</w:t>
      </w:r>
      <w:r w:rsidR="004B0FCA">
        <w:t>d consider developing programme</w:t>
      </w:r>
      <w:r>
        <w:t xml:space="preserve"> structure ‘maps’ to identify areas of separate activity that could be restructured to ma</w:t>
      </w:r>
      <w:r w:rsidR="00106C61">
        <w:t>ximise collaborative processes</w:t>
      </w:r>
    </w:p>
    <w:p w:rsidR="008459F1" w:rsidRDefault="008459F1" w:rsidP="00126917">
      <w:pPr>
        <w:spacing w:after="0"/>
        <w:ind w:left="567" w:hanging="283"/>
        <w:jc w:val="both"/>
      </w:pPr>
    </w:p>
    <w:p w:rsidR="008459F1" w:rsidRDefault="008459F1" w:rsidP="00126917">
      <w:pPr>
        <w:pStyle w:val="ListParagraph"/>
        <w:numPr>
          <w:ilvl w:val="0"/>
          <w:numId w:val="6"/>
        </w:numPr>
        <w:spacing w:after="0"/>
        <w:ind w:left="567" w:hanging="283"/>
        <w:jc w:val="both"/>
      </w:pPr>
      <w:r>
        <w:t xml:space="preserve">Formal mechanisms </w:t>
      </w:r>
      <w:r w:rsidR="00106C61">
        <w:t>are</w:t>
      </w:r>
      <w:r>
        <w:t xml:space="preserve"> in place to approve and monitor publicity material.  If a programme is delivered overseas, publicity material should be available in both English and the </w:t>
      </w:r>
      <w:r w:rsidR="00337292">
        <w:t>partner country</w:t>
      </w:r>
      <w:r>
        <w:t xml:space="preserve"> language</w:t>
      </w:r>
    </w:p>
    <w:p w:rsidR="008459F1" w:rsidRDefault="008459F1" w:rsidP="00126917">
      <w:pPr>
        <w:spacing w:after="0"/>
        <w:ind w:left="567" w:hanging="283"/>
        <w:jc w:val="both"/>
      </w:pPr>
    </w:p>
    <w:p w:rsidR="008459F1" w:rsidRDefault="008459F1" w:rsidP="00126917">
      <w:pPr>
        <w:pStyle w:val="ListParagraph"/>
        <w:numPr>
          <w:ilvl w:val="0"/>
          <w:numId w:val="6"/>
        </w:numPr>
        <w:spacing w:after="0"/>
        <w:ind w:left="567" w:hanging="283"/>
        <w:jc w:val="both"/>
      </w:pPr>
      <w:r>
        <w:t xml:space="preserve">Staff: Student Committees </w:t>
      </w:r>
      <w:r w:rsidR="00106C61">
        <w:t>have been</w:t>
      </w:r>
      <w:r>
        <w:t xml:space="preserve"> </w:t>
      </w:r>
      <w:r w:rsidR="00106C61">
        <w:t>established for each programme</w:t>
      </w:r>
    </w:p>
    <w:p w:rsidR="008459F1" w:rsidRDefault="008459F1" w:rsidP="00126917">
      <w:pPr>
        <w:spacing w:after="0"/>
        <w:ind w:left="567" w:hanging="283"/>
        <w:jc w:val="both"/>
      </w:pPr>
    </w:p>
    <w:p w:rsidR="008459F1" w:rsidRDefault="008459F1" w:rsidP="00126917">
      <w:pPr>
        <w:pStyle w:val="ListParagraph"/>
        <w:numPr>
          <w:ilvl w:val="0"/>
          <w:numId w:val="6"/>
        </w:numPr>
        <w:spacing w:after="0"/>
        <w:ind w:left="567" w:hanging="283"/>
        <w:jc w:val="both"/>
      </w:pPr>
      <w:r>
        <w:t xml:space="preserve">A staff exchange programme </w:t>
      </w:r>
      <w:r w:rsidR="00106C61">
        <w:t>will be</w:t>
      </w:r>
      <w:r>
        <w:t xml:space="preserve"> put in place for 2013-14 </w:t>
      </w:r>
      <w:r w:rsidR="00106C61">
        <w:t>under one</w:t>
      </w:r>
      <w:r>
        <w:t xml:space="preserve"> partnership for professional staff from UCD and the partner institution.  This will afford staff from both institutions an opportunity to spend a few days in each other</w:t>
      </w:r>
      <w:r w:rsidR="00126917">
        <w:t>’</w:t>
      </w:r>
      <w:r>
        <w:t>s offices to enable face-to-face discussions on programme</w:t>
      </w:r>
      <w:r w:rsidR="00106C61">
        <w:t>/institutional related issues</w:t>
      </w:r>
    </w:p>
    <w:p w:rsidR="00773689" w:rsidRDefault="00773689" w:rsidP="00126917">
      <w:pPr>
        <w:pStyle w:val="ListParagraph"/>
        <w:spacing w:after="0"/>
        <w:ind w:left="567" w:hanging="283"/>
      </w:pPr>
    </w:p>
    <w:p w:rsidR="00773689" w:rsidRDefault="00773689" w:rsidP="00126917">
      <w:pPr>
        <w:pStyle w:val="ListParagraph"/>
        <w:numPr>
          <w:ilvl w:val="0"/>
          <w:numId w:val="6"/>
        </w:numPr>
        <w:spacing w:after="0"/>
        <w:ind w:left="567" w:hanging="283"/>
        <w:jc w:val="both"/>
      </w:pPr>
      <w:r>
        <w:t xml:space="preserve">The partners effectively communicate and record changes to their programme </w:t>
      </w:r>
      <w:r w:rsidR="00FB7E34">
        <w:t>contributions</w:t>
      </w:r>
    </w:p>
    <w:p w:rsidR="00E63EB8" w:rsidRDefault="00E63EB8" w:rsidP="009900B5">
      <w:pPr>
        <w:spacing w:after="0"/>
        <w:ind w:left="284"/>
        <w:jc w:val="both"/>
      </w:pPr>
    </w:p>
    <w:p w:rsidR="00676C60" w:rsidRDefault="00676C60" w:rsidP="009900B5">
      <w:pPr>
        <w:spacing w:after="0"/>
        <w:ind w:left="284"/>
        <w:jc w:val="both"/>
      </w:pPr>
    </w:p>
    <w:p w:rsidR="00676C60" w:rsidRPr="00B143D3" w:rsidRDefault="00676C60" w:rsidP="00676C60">
      <w:pPr>
        <w:pStyle w:val="ListParagraph"/>
        <w:numPr>
          <w:ilvl w:val="0"/>
          <w:numId w:val="4"/>
        </w:numPr>
        <w:spacing w:after="0"/>
        <w:ind w:left="284" w:hanging="284"/>
        <w:jc w:val="both"/>
        <w:rPr>
          <w:b/>
          <w:u w:val="single"/>
        </w:rPr>
      </w:pPr>
      <w:r>
        <w:rPr>
          <w:b/>
          <w:u w:val="single"/>
        </w:rPr>
        <w:t>Next Steps</w:t>
      </w:r>
    </w:p>
    <w:p w:rsidR="00676C60" w:rsidRDefault="00676C60" w:rsidP="00676C60">
      <w:pPr>
        <w:spacing w:after="0"/>
        <w:ind w:left="284"/>
        <w:jc w:val="both"/>
      </w:pPr>
    </w:p>
    <w:p w:rsidR="00E63EB8" w:rsidRDefault="00676C60" w:rsidP="00676C60">
      <w:pPr>
        <w:spacing w:after="0"/>
        <w:ind w:left="284"/>
        <w:jc w:val="both"/>
      </w:pPr>
      <w:r>
        <w:t xml:space="preserve">Annual monitoring is about assuring quality, but it is also about ensuring the University is constantly enhancing its provision.  A key element of enhancing our practice is learning from each other. </w:t>
      </w:r>
    </w:p>
    <w:p w:rsidR="00676C60" w:rsidRDefault="00676C60" w:rsidP="00676C60">
      <w:pPr>
        <w:spacing w:after="0"/>
        <w:ind w:left="284"/>
        <w:jc w:val="both"/>
      </w:pPr>
    </w:p>
    <w:p w:rsidR="00676C60" w:rsidRDefault="002F2136" w:rsidP="00676C60">
      <w:pPr>
        <w:spacing w:after="0"/>
        <w:ind w:left="284"/>
        <w:jc w:val="both"/>
      </w:pPr>
      <w:r>
        <w:t xml:space="preserve">This </w:t>
      </w:r>
      <w:r w:rsidR="00676C60">
        <w:t xml:space="preserve">Report </w:t>
      </w:r>
      <w:r w:rsidR="00D177D6">
        <w:t>will</w:t>
      </w:r>
      <w:r w:rsidR="00676C60">
        <w:t xml:space="preserve"> be circulated to</w:t>
      </w:r>
      <w:r w:rsidR="00D177D6">
        <w:t xml:space="preserve"> UCD Programme Co-ordinators/</w:t>
      </w:r>
      <w:r w:rsidR="00D177D6" w:rsidRPr="0068268D">
        <w:t>Provost</w:t>
      </w:r>
      <w:r w:rsidR="00D177D6">
        <w:t xml:space="preserve"> of </w:t>
      </w:r>
      <w:r w:rsidR="0025768A">
        <w:t xml:space="preserve">taught </w:t>
      </w:r>
      <w:r w:rsidR="00D177D6" w:rsidRPr="0025768A">
        <w:t>collabo</w:t>
      </w:r>
      <w:r w:rsidRPr="0025768A">
        <w:t>rative/transnational programmes.  A revised version of this report (i.e. the quantitative data will be omitted) will be circulated to the collaborative partners listed in this report via the UCD Co-ordinator.</w:t>
      </w:r>
      <w:r>
        <w:t xml:space="preserve">  </w:t>
      </w:r>
    </w:p>
    <w:p w:rsidR="00E63EB8" w:rsidRDefault="00E63EB8" w:rsidP="009900B5">
      <w:pPr>
        <w:spacing w:after="0"/>
        <w:ind w:left="284"/>
        <w:jc w:val="both"/>
      </w:pPr>
    </w:p>
    <w:p w:rsidR="0054341C" w:rsidRDefault="002F2136" w:rsidP="009900B5">
      <w:pPr>
        <w:spacing w:after="0"/>
        <w:ind w:left="284"/>
        <w:jc w:val="both"/>
      </w:pPr>
      <w:r>
        <w:t>Following feedback from ACCQ, a</w:t>
      </w:r>
      <w:r w:rsidR="00D177D6">
        <w:t xml:space="preserve"> modified version of the Annual Report Template will be prepared f</w:t>
      </w:r>
      <w:r w:rsidR="0025768A">
        <w:t>or the 2013-14 academic session.</w:t>
      </w:r>
    </w:p>
    <w:p w:rsidR="0054341C" w:rsidRDefault="0054341C">
      <w:r>
        <w:br w:type="page"/>
      </w:r>
    </w:p>
    <w:p w:rsidR="0054341C" w:rsidRPr="0054341C" w:rsidRDefault="0054341C" w:rsidP="00D45415">
      <w:pPr>
        <w:spacing w:after="0"/>
        <w:ind w:left="284"/>
        <w:jc w:val="right"/>
        <w:rPr>
          <w:b/>
        </w:rPr>
      </w:pPr>
      <w:r w:rsidRPr="0054341C">
        <w:rPr>
          <w:b/>
        </w:rPr>
        <w:lastRenderedPageBreak/>
        <w:t>Appendix 1</w:t>
      </w:r>
    </w:p>
    <w:p w:rsidR="0054341C" w:rsidRDefault="0054341C" w:rsidP="00D45415">
      <w:pPr>
        <w:spacing w:after="0"/>
        <w:ind w:left="284"/>
        <w:jc w:val="both"/>
      </w:pPr>
    </w:p>
    <w:p w:rsidR="00D45415" w:rsidRDefault="00D45415" w:rsidP="00D45415">
      <w:pPr>
        <w:spacing w:after="0"/>
        <w:jc w:val="right"/>
        <w:rPr>
          <w:rFonts w:cs="Arial"/>
          <w:lang w:val="en-US"/>
        </w:rPr>
      </w:pPr>
      <w:r>
        <w:rPr>
          <w:rFonts w:cs="Arial"/>
          <w:noProof/>
          <w:lang w:val="en-GB" w:eastAsia="en-GB"/>
        </w:rPr>
        <w:drawing>
          <wp:inline distT="0" distB="0" distL="0" distR="0">
            <wp:extent cx="566463" cy="831701"/>
            <wp:effectExtent l="19050" t="0" r="5037" b="0"/>
            <wp:docPr id="2" name="Picture 1" descr="ucd_brandmark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d_brandmark_colour.jpg"/>
                    <pic:cNvPicPr/>
                  </pic:nvPicPr>
                  <pic:blipFill>
                    <a:blip r:embed="rId10" cstate="print"/>
                    <a:stretch>
                      <a:fillRect/>
                    </a:stretch>
                  </pic:blipFill>
                  <pic:spPr>
                    <a:xfrm>
                      <a:off x="0" y="0"/>
                      <a:ext cx="566463" cy="831701"/>
                    </a:xfrm>
                    <a:prstGeom prst="rect">
                      <a:avLst/>
                    </a:prstGeom>
                  </pic:spPr>
                </pic:pic>
              </a:graphicData>
            </a:graphic>
          </wp:inline>
        </w:drawing>
      </w:r>
    </w:p>
    <w:p w:rsidR="00D45415" w:rsidRDefault="00D45415" w:rsidP="00D45415">
      <w:pPr>
        <w:spacing w:after="0"/>
        <w:jc w:val="center"/>
        <w:rPr>
          <w:rFonts w:cs="Arial"/>
          <w:b/>
          <w:lang w:val="en-US"/>
        </w:rPr>
      </w:pPr>
    </w:p>
    <w:p w:rsidR="00D45415" w:rsidRPr="00B47B01" w:rsidRDefault="00D45415" w:rsidP="00D45415">
      <w:pPr>
        <w:spacing w:after="0"/>
        <w:jc w:val="center"/>
        <w:rPr>
          <w:rFonts w:cs="Arial"/>
          <w:b/>
          <w:lang w:val="en-US"/>
        </w:rPr>
      </w:pPr>
      <w:r w:rsidRPr="00B47B01">
        <w:rPr>
          <w:rFonts w:cs="Arial"/>
          <w:b/>
          <w:lang w:val="en-US"/>
        </w:rPr>
        <w:t>University College Dublin</w:t>
      </w:r>
    </w:p>
    <w:p w:rsidR="00D45415" w:rsidRPr="00B47B01" w:rsidRDefault="00D45415" w:rsidP="00D45415">
      <w:pPr>
        <w:spacing w:after="0"/>
        <w:jc w:val="center"/>
        <w:rPr>
          <w:rFonts w:cs="Arial"/>
          <w:b/>
          <w:lang w:val="en-US"/>
        </w:rPr>
      </w:pPr>
    </w:p>
    <w:p w:rsidR="00D45415" w:rsidRPr="00962CB0" w:rsidRDefault="00D45415" w:rsidP="00D45415">
      <w:pPr>
        <w:spacing w:after="0"/>
        <w:jc w:val="center"/>
        <w:rPr>
          <w:rFonts w:cs="Arial"/>
          <w:lang w:val="en-US"/>
        </w:rPr>
      </w:pPr>
      <w:r w:rsidRPr="00B47B01">
        <w:rPr>
          <w:rFonts w:cs="Arial"/>
          <w:u w:val="single"/>
          <w:lang w:val="en-US"/>
        </w:rPr>
        <w:t xml:space="preserve">Annual Programme Reporting </w:t>
      </w:r>
      <w:r>
        <w:rPr>
          <w:rFonts w:cs="Arial"/>
          <w:u w:val="single"/>
          <w:lang w:val="en-US"/>
        </w:rPr>
        <w:t xml:space="preserve">2012-13 - </w:t>
      </w:r>
      <w:r w:rsidRPr="00D45415">
        <w:rPr>
          <w:rFonts w:cs="Arial"/>
          <w:u w:val="single"/>
          <w:lang w:val="en-US"/>
        </w:rPr>
        <w:t>Specimen Template</w:t>
      </w:r>
    </w:p>
    <w:p w:rsidR="00D45415" w:rsidRDefault="00D45415" w:rsidP="00D45415">
      <w:pPr>
        <w:spacing w:after="0"/>
        <w:jc w:val="center"/>
        <w:rPr>
          <w:rFonts w:cs="Arial"/>
          <w:u w:val="single"/>
          <w:lang w:val="en-US"/>
        </w:rPr>
      </w:pPr>
    </w:p>
    <w:p w:rsidR="00D45415" w:rsidRPr="000230D7" w:rsidRDefault="00D45415" w:rsidP="00D45415">
      <w:pPr>
        <w:spacing w:after="0"/>
        <w:jc w:val="center"/>
        <w:rPr>
          <w:rFonts w:cs="Arial"/>
          <w:b/>
          <w:lang w:val="en-US"/>
        </w:rPr>
      </w:pPr>
      <w:r w:rsidRPr="000230D7">
        <w:rPr>
          <w:rFonts w:cs="Arial"/>
          <w:b/>
          <w:lang w:val="en-US"/>
        </w:rPr>
        <w:t>Collaborative and Transnational Programme</w:t>
      </w:r>
      <w:r>
        <w:rPr>
          <w:rFonts w:cs="Arial"/>
          <w:b/>
          <w:lang w:val="en-US"/>
        </w:rPr>
        <w:t>s</w:t>
      </w:r>
    </w:p>
    <w:p w:rsidR="00D45415" w:rsidRDefault="00D45415" w:rsidP="00D45415">
      <w:pPr>
        <w:spacing w:after="0"/>
        <w:ind w:hanging="720"/>
        <w:jc w:val="both"/>
        <w:rPr>
          <w:rFonts w:cs="Arial"/>
          <w:lang w:val="en-US"/>
        </w:rPr>
      </w:pPr>
    </w:p>
    <w:p w:rsidR="00D45415" w:rsidRDefault="00D45415" w:rsidP="00D45415">
      <w:pPr>
        <w:spacing w:after="0"/>
        <w:ind w:hanging="720"/>
        <w:jc w:val="both"/>
        <w:rPr>
          <w:rFonts w:cs="Arial"/>
          <w:lang w:val="en-US"/>
        </w:rPr>
      </w:pPr>
    </w:p>
    <w:tbl>
      <w:tblPr>
        <w:tblStyle w:val="TableGrid"/>
        <w:tblW w:w="1036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46"/>
        <w:gridCol w:w="1719"/>
        <w:gridCol w:w="2268"/>
        <w:gridCol w:w="1181"/>
        <w:gridCol w:w="1937"/>
        <w:gridCol w:w="1418"/>
        <w:gridCol w:w="1276"/>
        <w:gridCol w:w="11"/>
      </w:tblGrid>
      <w:tr w:rsidR="00D45415" w:rsidTr="004A30ED">
        <w:trPr>
          <w:gridAfter w:val="1"/>
          <w:wAfter w:w="11" w:type="dxa"/>
        </w:trPr>
        <w:tc>
          <w:tcPr>
            <w:tcW w:w="4537" w:type="dxa"/>
            <w:gridSpan w:val="4"/>
          </w:tcPr>
          <w:p w:rsidR="00D45415" w:rsidRDefault="00D45415" w:rsidP="00D45415">
            <w:pPr>
              <w:spacing w:line="276" w:lineRule="auto"/>
              <w:jc w:val="both"/>
              <w:rPr>
                <w:rFonts w:cs="Arial"/>
                <w:lang w:val="en-US"/>
              </w:rPr>
            </w:pPr>
            <w:r w:rsidRPr="00B47B01">
              <w:rPr>
                <w:rFonts w:cs="Arial"/>
                <w:lang w:val="en-US"/>
              </w:rPr>
              <w:t>Programme</w:t>
            </w:r>
            <w:r>
              <w:rPr>
                <w:rFonts w:cs="Arial"/>
                <w:lang w:val="en-US"/>
              </w:rPr>
              <w:t xml:space="preserve"> Title</w:t>
            </w:r>
            <w:r w:rsidRPr="00B47B01">
              <w:rPr>
                <w:rFonts w:cs="Arial"/>
                <w:lang w:val="en-US"/>
              </w:rPr>
              <w:t>(s):</w:t>
            </w:r>
          </w:p>
        </w:tc>
        <w:tc>
          <w:tcPr>
            <w:tcW w:w="5812" w:type="dxa"/>
            <w:gridSpan w:val="4"/>
            <w:tcBorders>
              <w:bottom w:val="single" w:sz="4" w:space="0" w:color="auto"/>
            </w:tcBorders>
          </w:tcPr>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4"/>
          </w:tcPr>
          <w:p w:rsidR="00D45415" w:rsidRDefault="00D45415" w:rsidP="00D45415">
            <w:pPr>
              <w:spacing w:line="276" w:lineRule="auto"/>
              <w:jc w:val="both"/>
              <w:rPr>
                <w:rFonts w:cs="Arial"/>
                <w:lang w:val="en-US"/>
              </w:rPr>
            </w:pPr>
          </w:p>
        </w:tc>
        <w:tc>
          <w:tcPr>
            <w:tcW w:w="5812" w:type="dxa"/>
            <w:gridSpan w:val="4"/>
            <w:tcBorders>
              <w:top w:val="single" w:sz="4" w:space="0" w:color="auto"/>
            </w:tcBorders>
          </w:tcPr>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4"/>
          </w:tcPr>
          <w:p w:rsidR="00D45415" w:rsidRDefault="00D45415" w:rsidP="00D45415">
            <w:pPr>
              <w:spacing w:line="276" w:lineRule="auto"/>
              <w:jc w:val="both"/>
              <w:rPr>
                <w:rFonts w:cs="Arial"/>
                <w:lang w:val="en-US"/>
              </w:rPr>
            </w:pPr>
            <w:r>
              <w:rPr>
                <w:rFonts w:cs="Arial"/>
                <w:lang w:val="en-US"/>
              </w:rPr>
              <w:t>Please describe the nature of the collaboration</w:t>
            </w:r>
          </w:p>
          <w:p w:rsidR="00D45415" w:rsidRPr="00F52782" w:rsidRDefault="00D45415" w:rsidP="00D45415">
            <w:pPr>
              <w:spacing w:line="276" w:lineRule="auto"/>
              <w:jc w:val="both"/>
              <w:rPr>
                <w:rFonts w:cs="Arial"/>
                <w:i/>
                <w:sz w:val="19"/>
                <w:szCs w:val="19"/>
                <w:lang w:val="en-US"/>
              </w:rPr>
            </w:pPr>
            <w:r w:rsidRPr="00F52782">
              <w:rPr>
                <w:rFonts w:cs="Arial"/>
                <w:i/>
                <w:sz w:val="19"/>
                <w:szCs w:val="19"/>
                <w:lang w:val="en-US"/>
              </w:rPr>
              <w:t>(e.</w:t>
            </w:r>
            <w:r>
              <w:rPr>
                <w:rFonts w:cs="Arial"/>
                <w:i/>
                <w:sz w:val="19"/>
                <w:szCs w:val="19"/>
                <w:lang w:val="en-US"/>
              </w:rPr>
              <w:t>g. franchise, 2 year taught at X</w:t>
            </w:r>
            <w:r w:rsidRPr="00F52782">
              <w:rPr>
                <w:rFonts w:cs="Arial"/>
                <w:i/>
                <w:sz w:val="19"/>
                <w:szCs w:val="19"/>
                <w:lang w:val="en-US"/>
              </w:rPr>
              <w:t>: 2 years taught at UCD – UCD Award)</w:t>
            </w:r>
          </w:p>
        </w:tc>
        <w:tc>
          <w:tcPr>
            <w:tcW w:w="5812" w:type="dxa"/>
            <w:gridSpan w:val="4"/>
            <w:tcBorders>
              <w:bottom w:val="single" w:sz="4" w:space="0" w:color="auto"/>
            </w:tcBorders>
          </w:tcPr>
          <w:p w:rsidR="00D45415" w:rsidRDefault="00D45415" w:rsidP="00D45415">
            <w:pPr>
              <w:spacing w:line="276" w:lineRule="auto"/>
              <w:jc w:val="both"/>
              <w:rPr>
                <w:rFonts w:cs="Arial"/>
                <w:lang w:val="en-US"/>
              </w:rPr>
            </w:pPr>
          </w:p>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4"/>
          </w:tcPr>
          <w:p w:rsidR="00D45415" w:rsidRDefault="00D45415" w:rsidP="00D45415">
            <w:pPr>
              <w:spacing w:line="276" w:lineRule="auto"/>
              <w:jc w:val="both"/>
              <w:rPr>
                <w:rFonts w:cs="Arial"/>
                <w:lang w:val="en-US"/>
              </w:rPr>
            </w:pPr>
          </w:p>
        </w:tc>
        <w:tc>
          <w:tcPr>
            <w:tcW w:w="5812" w:type="dxa"/>
            <w:gridSpan w:val="4"/>
            <w:tcBorders>
              <w:top w:val="single" w:sz="4" w:space="0" w:color="auto"/>
            </w:tcBorders>
          </w:tcPr>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4"/>
          </w:tcPr>
          <w:p w:rsidR="00D45415" w:rsidRDefault="00D45415" w:rsidP="00D45415">
            <w:pPr>
              <w:spacing w:line="276" w:lineRule="auto"/>
              <w:jc w:val="both"/>
              <w:rPr>
                <w:rFonts w:cs="Arial"/>
                <w:lang w:val="en-US"/>
              </w:rPr>
            </w:pPr>
            <w:r>
              <w:rPr>
                <w:rFonts w:cs="Arial"/>
                <w:lang w:val="en-US"/>
              </w:rPr>
              <w:t>UCD Programme Board:</w:t>
            </w:r>
          </w:p>
        </w:tc>
        <w:tc>
          <w:tcPr>
            <w:tcW w:w="5812" w:type="dxa"/>
            <w:gridSpan w:val="4"/>
            <w:tcBorders>
              <w:bottom w:val="single" w:sz="4" w:space="0" w:color="auto"/>
            </w:tcBorders>
          </w:tcPr>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4"/>
          </w:tcPr>
          <w:p w:rsidR="00D45415" w:rsidRDefault="00D45415" w:rsidP="00D45415">
            <w:pPr>
              <w:spacing w:line="276" w:lineRule="auto"/>
              <w:jc w:val="both"/>
              <w:rPr>
                <w:rFonts w:cs="Arial"/>
                <w:lang w:val="en-US"/>
              </w:rPr>
            </w:pPr>
          </w:p>
        </w:tc>
        <w:tc>
          <w:tcPr>
            <w:tcW w:w="5812" w:type="dxa"/>
            <w:gridSpan w:val="4"/>
            <w:tcBorders>
              <w:top w:val="single" w:sz="4" w:space="0" w:color="auto"/>
            </w:tcBorders>
          </w:tcPr>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4"/>
          </w:tcPr>
          <w:p w:rsidR="00D45415" w:rsidRDefault="00D45415" w:rsidP="00D45415">
            <w:pPr>
              <w:spacing w:line="276" w:lineRule="auto"/>
              <w:jc w:val="both"/>
              <w:rPr>
                <w:rFonts w:cs="Arial"/>
                <w:lang w:val="en-US"/>
              </w:rPr>
            </w:pPr>
            <w:r>
              <w:rPr>
                <w:rFonts w:cs="Arial"/>
                <w:lang w:val="en-US"/>
              </w:rPr>
              <w:t>Partner Institution/Transnational Campus:</w:t>
            </w:r>
          </w:p>
        </w:tc>
        <w:tc>
          <w:tcPr>
            <w:tcW w:w="5812" w:type="dxa"/>
            <w:gridSpan w:val="4"/>
            <w:tcBorders>
              <w:bottom w:val="single" w:sz="4" w:space="0" w:color="auto"/>
            </w:tcBorders>
          </w:tcPr>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4"/>
          </w:tcPr>
          <w:p w:rsidR="00D45415" w:rsidRDefault="00D45415" w:rsidP="00D45415">
            <w:pPr>
              <w:spacing w:line="276" w:lineRule="auto"/>
              <w:jc w:val="both"/>
              <w:rPr>
                <w:rFonts w:cs="Arial"/>
                <w:lang w:val="en-US"/>
              </w:rPr>
            </w:pPr>
          </w:p>
        </w:tc>
        <w:tc>
          <w:tcPr>
            <w:tcW w:w="5812" w:type="dxa"/>
            <w:gridSpan w:val="4"/>
            <w:tcBorders>
              <w:top w:val="single" w:sz="4" w:space="0" w:color="auto"/>
            </w:tcBorders>
          </w:tcPr>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4"/>
          </w:tcPr>
          <w:p w:rsidR="00D45415" w:rsidRDefault="00D45415" w:rsidP="00D45415">
            <w:pPr>
              <w:spacing w:line="276" w:lineRule="auto"/>
              <w:jc w:val="both"/>
              <w:rPr>
                <w:rFonts w:cs="Arial"/>
                <w:lang w:val="en-US"/>
              </w:rPr>
            </w:pPr>
            <w:r>
              <w:rPr>
                <w:rFonts w:cs="Arial"/>
                <w:lang w:val="en-US"/>
              </w:rPr>
              <w:t>Name of Programme Board Chair/Coordinator/</w:t>
            </w:r>
          </w:p>
          <w:p w:rsidR="00D45415" w:rsidRDefault="00D45415" w:rsidP="00D45415">
            <w:pPr>
              <w:spacing w:line="276" w:lineRule="auto"/>
              <w:jc w:val="both"/>
              <w:rPr>
                <w:rFonts w:cs="Arial"/>
                <w:lang w:val="en-US"/>
              </w:rPr>
            </w:pPr>
            <w:r>
              <w:rPr>
                <w:rFonts w:cs="Arial"/>
                <w:lang w:val="en-US"/>
              </w:rPr>
              <w:t>Academic Committee Chair (or equivalent):</w:t>
            </w:r>
          </w:p>
        </w:tc>
        <w:tc>
          <w:tcPr>
            <w:tcW w:w="5812" w:type="dxa"/>
            <w:gridSpan w:val="4"/>
            <w:tcBorders>
              <w:bottom w:val="single" w:sz="4" w:space="0" w:color="auto"/>
            </w:tcBorders>
          </w:tcPr>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4"/>
          </w:tcPr>
          <w:p w:rsidR="00D45415" w:rsidRDefault="00D45415" w:rsidP="00D45415">
            <w:pPr>
              <w:spacing w:line="276" w:lineRule="auto"/>
              <w:jc w:val="both"/>
              <w:rPr>
                <w:rFonts w:cs="Arial"/>
                <w:lang w:val="en-US"/>
              </w:rPr>
            </w:pPr>
          </w:p>
        </w:tc>
        <w:tc>
          <w:tcPr>
            <w:tcW w:w="5812" w:type="dxa"/>
            <w:gridSpan w:val="4"/>
            <w:tcBorders>
              <w:top w:val="single" w:sz="4" w:space="0" w:color="auto"/>
            </w:tcBorders>
          </w:tcPr>
          <w:p w:rsidR="00D45415" w:rsidRDefault="00D45415" w:rsidP="00D45415">
            <w:pPr>
              <w:spacing w:line="276" w:lineRule="auto"/>
              <w:jc w:val="both"/>
              <w:rPr>
                <w:rFonts w:cs="Arial"/>
                <w:lang w:val="en-US"/>
              </w:rPr>
            </w:pPr>
          </w:p>
        </w:tc>
      </w:tr>
      <w:tr w:rsidR="00D45415" w:rsidTr="004A30ED">
        <w:trPr>
          <w:gridAfter w:val="1"/>
          <w:wAfter w:w="11" w:type="dxa"/>
        </w:trPr>
        <w:tc>
          <w:tcPr>
            <w:tcW w:w="4537" w:type="dxa"/>
            <w:gridSpan w:val="4"/>
          </w:tcPr>
          <w:p w:rsidR="00D45415" w:rsidRDefault="00D45415" w:rsidP="00D45415">
            <w:pPr>
              <w:spacing w:line="276" w:lineRule="auto"/>
              <w:jc w:val="both"/>
              <w:rPr>
                <w:rFonts w:cs="Arial"/>
                <w:lang w:val="en-US"/>
              </w:rPr>
            </w:pPr>
            <w:r>
              <w:rPr>
                <w:rFonts w:cs="Arial"/>
                <w:lang w:val="en-US"/>
              </w:rPr>
              <w:t>Date of Last Report:</w:t>
            </w:r>
          </w:p>
        </w:tc>
        <w:tc>
          <w:tcPr>
            <w:tcW w:w="5812" w:type="dxa"/>
            <w:gridSpan w:val="4"/>
            <w:tcBorders>
              <w:bottom w:val="single" w:sz="4" w:space="0" w:color="auto"/>
            </w:tcBorders>
          </w:tcPr>
          <w:p w:rsidR="00D45415" w:rsidRDefault="00D45415" w:rsidP="00D45415">
            <w:pPr>
              <w:spacing w:line="276" w:lineRule="auto"/>
              <w:jc w:val="both"/>
              <w:rPr>
                <w:rFonts w:cs="Arial"/>
                <w:lang w:val="en-US"/>
              </w:rPr>
            </w:pPr>
            <w:r>
              <w:rPr>
                <w:rFonts w:cs="Arial"/>
                <w:lang w:val="en-US"/>
              </w:rPr>
              <w:t>N/A for this Report</w:t>
            </w:r>
          </w:p>
        </w:tc>
      </w:tr>
      <w:tr w:rsidR="00D45415" w:rsidRPr="00B47B01" w:rsidTr="004A30ED">
        <w:tblPrEx>
          <w:tblLook w:val="01E0" w:firstRow="1" w:lastRow="1" w:firstColumn="1" w:lastColumn="1" w:noHBand="0" w:noVBand="0"/>
        </w:tblPrEx>
        <w:tc>
          <w:tcPr>
            <w:tcW w:w="504" w:type="dxa"/>
          </w:tcPr>
          <w:p w:rsidR="00D45415" w:rsidRPr="00B47B01" w:rsidRDefault="00D45415" w:rsidP="00D45415">
            <w:pPr>
              <w:spacing w:line="276" w:lineRule="auto"/>
              <w:jc w:val="both"/>
              <w:rPr>
                <w:rFonts w:cs="Arial"/>
                <w:lang w:val="en-US"/>
              </w:rPr>
            </w:pPr>
          </w:p>
        </w:tc>
        <w:tc>
          <w:tcPr>
            <w:tcW w:w="9856" w:type="dxa"/>
            <w:gridSpan w:val="8"/>
          </w:tcPr>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04" w:type="dxa"/>
          </w:tcPr>
          <w:p w:rsidR="00D45415" w:rsidRPr="00B47B01" w:rsidRDefault="00D45415" w:rsidP="00D45415">
            <w:pPr>
              <w:spacing w:line="276" w:lineRule="auto"/>
              <w:jc w:val="both"/>
              <w:rPr>
                <w:rFonts w:cs="Arial"/>
                <w:lang w:val="en-US"/>
              </w:rPr>
            </w:pPr>
            <w:r w:rsidRPr="00B47B01">
              <w:rPr>
                <w:rFonts w:cs="Arial"/>
                <w:lang w:val="en-US"/>
              </w:rPr>
              <w:t xml:space="preserve">1. </w:t>
            </w:r>
          </w:p>
        </w:tc>
        <w:tc>
          <w:tcPr>
            <w:tcW w:w="9856" w:type="dxa"/>
            <w:gridSpan w:val="8"/>
            <w:tcBorders>
              <w:bottom w:val="single" w:sz="4" w:space="0" w:color="auto"/>
            </w:tcBorders>
          </w:tcPr>
          <w:p w:rsidR="00D45415" w:rsidRDefault="00D45415" w:rsidP="00D45415">
            <w:pPr>
              <w:spacing w:line="276" w:lineRule="auto"/>
              <w:jc w:val="both"/>
              <w:rPr>
                <w:rFonts w:cs="Arial"/>
                <w:lang w:val="en-US"/>
              </w:rPr>
            </w:pPr>
            <w:r>
              <w:rPr>
                <w:rFonts w:cs="Arial"/>
                <w:lang w:val="en-US"/>
              </w:rPr>
              <w:t>Summary of Student Feedback (formal and informal)</w:t>
            </w:r>
          </w:p>
          <w:p w:rsidR="00D45415" w:rsidRPr="00D45415"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04" w:type="dxa"/>
            <w:tcBorders>
              <w:right w:val="single" w:sz="4" w:space="0" w:color="auto"/>
            </w:tcBorders>
          </w:tcPr>
          <w:p w:rsidR="00D45415" w:rsidRPr="00B47B01" w:rsidRDefault="00D45415" w:rsidP="00D45415">
            <w:pPr>
              <w:spacing w:line="276" w:lineRule="auto"/>
              <w:jc w:val="both"/>
              <w:rPr>
                <w:rFonts w:cs="Arial"/>
                <w:lang w:val="en-US"/>
              </w:rPr>
            </w:pPr>
          </w:p>
        </w:tc>
        <w:tc>
          <w:tcPr>
            <w:tcW w:w="9856" w:type="dxa"/>
            <w:gridSpan w:val="8"/>
            <w:tcBorders>
              <w:top w:val="single" w:sz="4" w:space="0" w:color="auto"/>
              <w:left w:val="single" w:sz="4" w:space="0" w:color="auto"/>
              <w:bottom w:val="single" w:sz="4" w:space="0" w:color="auto"/>
              <w:right w:val="single" w:sz="4" w:space="0" w:color="auto"/>
            </w:tcBorders>
          </w:tcPr>
          <w:p w:rsidR="00D45415" w:rsidRPr="00B47B01" w:rsidRDefault="00D45415" w:rsidP="00D45415">
            <w:pPr>
              <w:spacing w:line="276" w:lineRule="auto"/>
              <w:jc w:val="both"/>
              <w:rPr>
                <w:rFonts w:cs="Arial"/>
                <w:lang w:val="en-US"/>
              </w:rPr>
            </w:pPr>
            <w:proofErr w:type="spellStart"/>
            <w:r w:rsidRPr="00B03ACE">
              <w:rPr>
                <w:rFonts w:cs="Arial"/>
                <w:i/>
                <w:lang w:val="en-US"/>
              </w:rPr>
              <w:t>Summarise</w:t>
            </w:r>
            <w:proofErr w:type="spellEnd"/>
            <w:r w:rsidRPr="00B03ACE">
              <w:rPr>
                <w:rFonts w:cs="Arial"/>
                <w:i/>
                <w:lang w:val="en-US"/>
              </w:rPr>
              <w:t xml:space="preserve"> student feedback from </w:t>
            </w:r>
            <w:r>
              <w:rPr>
                <w:rFonts w:cs="Arial"/>
                <w:i/>
                <w:lang w:val="en-US"/>
              </w:rPr>
              <w:t xml:space="preserve">e.g. </w:t>
            </w:r>
            <w:r w:rsidRPr="00B03ACE">
              <w:rPr>
                <w:rFonts w:cs="Arial"/>
                <w:i/>
                <w:lang w:val="en-US"/>
              </w:rPr>
              <w:t>modules, staff-student meetings</w:t>
            </w:r>
            <w:r>
              <w:rPr>
                <w:rFonts w:cs="Arial"/>
                <w:i/>
                <w:lang w:val="en-US"/>
              </w:rPr>
              <w:t>, etc.</w:t>
            </w:r>
            <w:r w:rsidRPr="00B03ACE">
              <w:rPr>
                <w:rFonts w:cs="Arial"/>
                <w:i/>
                <w:lang w:val="en-US"/>
              </w:rPr>
              <w:t xml:space="preserve"> </w:t>
            </w:r>
          </w:p>
          <w:p w:rsidR="00D45415" w:rsidRDefault="00D45415" w:rsidP="00D45415">
            <w:pPr>
              <w:spacing w:line="276" w:lineRule="auto"/>
              <w:jc w:val="both"/>
              <w:rPr>
                <w:rFonts w:cs="Arial"/>
                <w:lang w:val="en-US"/>
              </w:rPr>
            </w:pPr>
          </w:p>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04" w:type="dxa"/>
          </w:tcPr>
          <w:p w:rsidR="00D45415" w:rsidRPr="00B47B01" w:rsidRDefault="00D45415" w:rsidP="00D45415">
            <w:pPr>
              <w:spacing w:line="276" w:lineRule="auto"/>
              <w:jc w:val="both"/>
              <w:rPr>
                <w:rFonts w:cs="Arial"/>
                <w:lang w:val="en-US"/>
              </w:rPr>
            </w:pPr>
          </w:p>
        </w:tc>
        <w:tc>
          <w:tcPr>
            <w:tcW w:w="9856" w:type="dxa"/>
            <w:gridSpan w:val="8"/>
            <w:tcBorders>
              <w:top w:val="single" w:sz="4" w:space="0" w:color="auto"/>
            </w:tcBorders>
          </w:tcPr>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Pr>
          <w:p w:rsidR="00D45415" w:rsidRPr="00B47B01" w:rsidRDefault="00D45415" w:rsidP="00D45415">
            <w:pPr>
              <w:spacing w:line="276" w:lineRule="auto"/>
              <w:jc w:val="both"/>
              <w:rPr>
                <w:rFonts w:cs="Arial"/>
                <w:lang w:val="en-US"/>
              </w:rPr>
            </w:pPr>
            <w:r w:rsidRPr="00B47B01">
              <w:rPr>
                <w:rFonts w:cs="Arial"/>
                <w:lang w:val="en-US"/>
              </w:rPr>
              <w:t>2.</w:t>
            </w:r>
          </w:p>
        </w:tc>
        <w:tc>
          <w:tcPr>
            <w:tcW w:w="9810" w:type="dxa"/>
            <w:gridSpan w:val="7"/>
            <w:tcBorders>
              <w:bottom w:val="single" w:sz="4" w:space="0" w:color="auto"/>
            </w:tcBorders>
          </w:tcPr>
          <w:p w:rsidR="00D45415" w:rsidRPr="00B47B01" w:rsidRDefault="00D45415" w:rsidP="00D45415">
            <w:pPr>
              <w:spacing w:line="276" w:lineRule="auto"/>
              <w:jc w:val="both"/>
              <w:rPr>
                <w:rFonts w:cs="Arial"/>
                <w:lang w:val="en-US"/>
              </w:rPr>
            </w:pPr>
            <w:r>
              <w:rPr>
                <w:rFonts w:cs="Arial"/>
                <w:lang w:val="en-US"/>
              </w:rPr>
              <w:t>Summary of Feedback/Issues raised by Module Coordinators/staff (and External Examiners as appropriate) on module and/or programme delivery</w:t>
            </w:r>
          </w:p>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Borders>
              <w:right w:val="single" w:sz="4" w:space="0" w:color="auto"/>
            </w:tcBorders>
          </w:tcPr>
          <w:p w:rsidR="00D45415" w:rsidRPr="00B47B01" w:rsidRDefault="00D45415" w:rsidP="00D45415">
            <w:pPr>
              <w:spacing w:line="276" w:lineRule="auto"/>
              <w:jc w:val="both"/>
              <w:rPr>
                <w:rFonts w:cs="Arial"/>
                <w:lang w:val="en-US"/>
              </w:rPr>
            </w:pPr>
          </w:p>
        </w:tc>
        <w:tc>
          <w:tcPr>
            <w:tcW w:w="9810" w:type="dxa"/>
            <w:gridSpan w:val="7"/>
            <w:tcBorders>
              <w:top w:val="single" w:sz="4" w:space="0" w:color="auto"/>
              <w:left w:val="single" w:sz="4" w:space="0" w:color="auto"/>
              <w:bottom w:val="single" w:sz="4" w:space="0" w:color="auto"/>
              <w:right w:val="single" w:sz="4" w:space="0" w:color="auto"/>
            </w:tcBorders>
          </w:tcPr>
          <w:p w:rsidR="00D45415" w:rsidRPr="00B47B01" w:rsidRDefault="00D45415" w:rsidP="00D45415">
            <w:pPr>
              <w:spacing w:line="276" w:lineRule="auto"/>
              <w:jc w:val="both"/>
              <w:rPr>
                <w:rFonts w:cs="Arial"/>
                <w:lang w:val="en-US"/>
              </w:rPr>
            </w:pPr>
          </w:p>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Pr>
          <w:p w:rsidR="00D45415" w:rsidRPr="00B47B01" w:rsidRDefault="00D45415" w:rsidP="00D45415">
            <w:pPr>
              <w:spacing w:line="276" w:lineRule="auto"/>
              <w:jc w:val="both"/>
              <w:rPr>
                <w:rFonts w:cs="Arial"/>
                <w:lang w:val="en-US"/>
              </w:rPr>
            </w:pPr>
          </w:p>
        </w:tc>
        <w:tc>
          <w:tcPr>
            <w:tcW w:w="9810" w:type="dxa"/>
            <w:gridSpan w:val="7"/>
            <w:tcBorders>
              <w:top w:val="single" w:sz="4" w:space="0" w:color="auto"/>
            </w:tcBorders>
          </w:tcPr>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Pr>
          <w:p w:rsidR="00D45415" w:rsidRPr="00B47B01" w:rsidRDefault="00D45415" w:rsidP="00D45415">
            <w:pPr>
              <w:spacing w:line="276" w:lineRule="auto"/>
              <w:jc w:val="both"/>
              <w:rPr>
                <w:rFonts w:cs="Arial"/>
                <w:lang w:val="en-US"/>
              </w:rPr>
            </w:pPr>
            <w:r>
              <w:rPr>
                <w:rFonts w:cs="Arial"/>
                <w:lang w:val="en-US"/>
              </w:rPr>
              <w:t>3</w:t>
            </w:r>
            <w:r w:rsidRPr="00B47B01">
              <w:rPr>
                <w:rFonts w:cs="Arial"/>
                <w:lang w:val="en-US"/>
              </w:rPr>
              <w:t>.</w:t>
            </w:r>
          </w:p>
        </w:tc>
        <w:tc>
          <w:tcPr>
            <w:tcW w:w="9810" w:type="dxa"/>
            <w:gridSpan w:val="7"/>
            <w:tcBorders>
              <w:bottom w:val="single" w:sz="4" w:space="0" w:color="auto"/>
            </w:tcBorders>
          </w:tcPr>
          <w:p w:rsidR="00D45415" w:rsidRPr="00B47B01" w:rsidRDefault="00D45415" w:rsidP="00D45415">
            <w:pPr>
              <w:spacing w:line="276" w:lineRule="auto"/>
              <w:jc w:val="both"/>
              <w:rPr>
                <w:rFonts w:cs="Arial"/>
                <w:lang w:val="en-US"/>
              </w:rPr>
            </w:pPr>
            <w:r>
              <w:rPr>
                <w:rFonts w:cs="Arial"/>
                <w:lang w:val="en-US"/>
              </w:rPr>
              <w:t>Please comment on the overall operation of the programme(s) during the previous year</w:t>
            </w:r>
          </w:p>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Borders>
              <w:right w:val="single" w:sz="4" w:space="0" w:color="auto"/>
            </w:tcBorders>
          </w:tcPr>
          <w:p w:rsidR="00D45415" w:rsidRPr="00B47B01" w:rsidRDefault="00D45415" w:rsidP="00D45415">
            <w:pPr>
              <w:spacing w:line="276" w:lineRule="auto"/>
              <w:jc w:val="both"/>
              <w:rPr>
                <w:rFonts w:cs="Arial"/>
                <w:lang w:val="en-US"/>
              </w:rPr>
            </w:pPr>
          </w:p>
        </w:tc>
        <w:tc>
          <w:tcPr>
            <w:tcW w:w="9810" w:type="dxa"/>
            <w:gridSpan w:val="7"/>
            <w:tcBorders>
              <w:top w:val="single" w:sz="4" w:space="0" w:color="auto"/>
              <w:left w:val="single" w:sz="4" w:space="0" w:color="auto"/>
              <w:bottom w:val="single" w:sz="4" w:space="0" w:color="auto"/>
              <w:right w:val="single" w:sz="4" w:space="0" w:color="auto"/>
            </w:tcBorders>
          </w:tcPr>
          <w:p w:rsidR="00D45415" w:rsidRPr="00B47B01" w:rsidRDefault="00D45415" w:rsidP="00D45415">
            <w:pPr>
              <w:spacing w:line="276" w:lineRule="auto"/>
              <w:jc w:val="both"/>
              <w:rPr>
                <w:rFonts w:cs="Arial"/>
                <w:i/>
                <w:lang w:val="en-US"/>
              </w:rPr>
            </w:pPr>
            <w:r>
              <w:rPr>
                <w:rFonts w:cs="Arial"/>
                <w:i/>
                <w:lang w:val="en-US"/>
              </w:rPr>
              <w:t>e.g. programme delivery/structure/administration; student results; quality assurance issues; student supports/guidance; resources/finance issues and any other relevant information:</w:t>
            </w:r>
          </w:p>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04" w:type="dxa"/>
          </w:tcPr>
          <w:p w:rsidR="00D45415" w:rsidRPr="00B47B01" w:rsidRDefault="00D45415" w:rsidP="00D45415">
            <w:pPr>
              <w:spacing w:line="276" w:lineRule="auto"/>
              <w:jc w:val="both"/>
              <w:rPr>
                <w:rFonts w:cs="Arial"/>
                <w:lang w:val="en-US"/>
              </w:rPr>
            </w:pPr>
          </w:p>
        </w:tc>
        <w:tc>
          <w:tcPr>
            <w:tcW w:w="9856" w:type="dxa"/>
            <w:gridSpan w:val="8"/>
          </w:tcPr>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Pr>
          <w:p w:rsidR="00D45415" w:rsidRPr="00B47B01" w:rsidRDefault="00D45415" w:rsidP="00D45415">
            <w:pPr>
              <w:spacing w:line="276" w:lineRule="auto"/>
              <w:jc w:val="both"/>
              <w:rPr>
                <w:rFonts w:cs="Arial"/>
                <w:lang w:val="en-US"/>
              </w:rPr>
            </w:pPr>
            <w:r>
              <w:rPr>
                <w:rFonts w:cs="Arial"/>
                <w:lang w:val="en-US"/>
              </w:rPr>
              <w:t>4</w:t>
            </w:r>
            <w:r w:rsidRPr="00B47B01">
              <w:rPr>
                <w:rFonts w:cs="Arial"/>
                <w:lang w:val="en-US"/>
              </w:rPr>
              <w:t>.</w:t>
            </w:r>
          </w:p>
        </w:tc>
        <w:tc>
          <w:tcPr>
            <w:tcW w:w="9810" w:type="dxa"/>
            <w:gridSpan w:val="7"/>
            <w:tcBorders>
              <w:bottom w:val="single" w:sz="4" w:space="0" w:color="auto"/>
            </w:tcBorders>
          </w:tcPr>
          <w:p w:rsidR="00D45415" w:rsidRPr="00B47B01" w:rsidRDefault="00D45415" w:rsidP="00D45415">
            <w:pPr>
              <w:spacing w:line="276" w:lineRule="auto"/>
              <w:jc w:val="both"/>
              <w:rPr>
                <w:rFonts w:cs="Arial"/>
                <w:lang w:val="en-US"/>
              </w:rPr>
            </w:pPr>
            <w:r>
              <w:rPr>
                <w:rFonts w:cs="Arial"/>
                <w:lang w:val="en-US"/>
              </w:rPr>
              <w:t>Please provide summary details of programme management meetings/contact between the partners</w:t>
            </w:r>
          </w:p>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Borders>
              <w:right w:val="single" w:sz="4" w:space="0" w:color="auto"/>
            </w:tcBorders>
          </w:tcPr>
          <w:p w:rsidR="00D45415" w:rsidRPr="00B47B01" w:rsidRDefault="00D45415" w:rsidP="00D45415">
            <w:pPr>
              <w:spacing w:line="276" w:lineRule="auto"/>
              <w:jc w:val="both"/>
              <w:rPr>
                <w:rFonts w:cs="Arial"/>
                <w:lang w:val="en-US"/>
              </w:rPr>
            </w:pPr>
          </w:p>
        </w:tc>
        <w:tc>
          <w:tcPr>
            <w:tcW w:w="9810" w:type="dxa"/>
            <w:gridSpan w:val="7"/>
            <w:tcBorders>
              <w:top w:val="single" w:sz="4" w:space="0" w:color="auto"/>
              <w:left w:val="single" w:sz="4" w:space="0" w:color="auto"/>
              <w:bottom w:val="single" w:sz="4" w:space="0" w:color="auto"/>
              <w:right w:val="single" w:sz="4" w:space="0" w:color="auto"/>
            </w:tcBorders>
          </w:tcPr>
          <w:p w:rsidR="00D45415" w:rsidRPr="00B47B01" w:rsidRDefault="00D45415" w:rsidP="00D45415">
            <w:pPr>
              <w:spacing w:line="276" w:lineRule="auto"/>
              <w:jc w:val="both"/>
              <w:rPr>
                <w:rFonts w:cs="Arial"/>
                <w:i/>
                <w:lang w:val="en-US"/>
              </w:rPr>
            </w:pPr>
            <w:r>
              <w:rPr>
                <w:rFonts w:cs="Arial"/>
                <w:i/>
                <w:lang w:val="en-US"/>
              </w:rPr>
              <w:t>e.g. date, purpose of meeting, staff present etc</w:t>
            </w:r>
          </w:p>
          <w:p w:rsidR="00D45415" w:rsidRDefault="00D45415" w:rsidP="00D45415">
            <w:pPr>
              <w:spacing w:line="276" w:lineRule="auto"/>
              <w:jc w:val="both"/>
              <w:rPr>
                <w:rFonts w:cs="Arial"/>
                <w:lang w:val="en-US"/>
              </w:rPr>
            </w:pPr>
          </w:p>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Pr>
          <w:p w:rsidR="00D45415" w:rsidRPr="00B47B01" w:rsidRDefault="00D45415" w:rsidP="00D45415">
            <w:pPr>
              <w:spacing w:line="276" w:lineRule="auto"/>
              <w:jc w:val="both"/>
              <w:rPr>
                <w:rFonts w:cs="Arial"/>
                <w:lang w:val="en-US"/>
              </w:rPr>
            </w:pPr>
          </w:p>
        </w:tc>
        <w:tc>
          <w:tcPr>
            <w:tcW w:w="9810" w:type="dxa"/>
            <w:gridSpan w:val="7"/>
          </w:tcPr>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Pr>
          <w:p w:rsidR="00D45415" w:rsidRPr="00B47B01" w:rsidRDefault="00D45415" w:rsidP="00D45415">
            <w:pPr>
              <w:spacing w:line="276" w:lineRule="auto"/>
              <w:jc w:val="both"/>
              <w:rPr>
                <w:rFonts w:cs="Arial"/>
                <w:lang w:val="en-US"/>
              </w:rPr>
            </w:pPr>
            <w:r>
              <w:rPr>
                <w:rFonts w:cs="Arial"/>
                <w:lang w:val="en-US"/>
              </w:rPr>
              <w:t>5</w:t>
            </w:r>
            <w:r w:rsidRPr="00B47B01">
              <w:rPr>
                <w:rFonts w:cs="Arial"/>
                <w:lang w:val="en-US"/>
              </w:rPr>
              <w:t>.</w:t>
            </w:r>
          </w:p>
        </w:tc>
        <w:tc>
          <w:tcPr>
            <w:tcW w:w="9810" w:type="dxa"/>
            <w:gridSpan w:val="7"/>
          </w:tcPr>
          <w:p w:rsidR="00D45415" w:rsidRPr="00B47B01" w:rsidRDefault="00D45415" w:rsidP="00D45415">
            <w:pPr>
              <w:spacing w:line="276" w:lineRule="auto"/>
              <w:jc w:val="both"/>
              <w:rPr>
                <w:rFonts w:cs="Arial"/>
                <w:lang w:val="en-US"/>
              </w:rPr>
            </w:pPr>
            <w:r>
              <w:rPr>
                <w:rFonts w:cs="Arial"/>
                <w:lang w:val="en-US"/>
              </w:rPr>
              <w:t>Does the collaborative programme remain financially viable?</w:t>
            </w:r>
          </w:p>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Borders>
              <w:right w:val="single" w:sz="4" w:space="0" w:color="auto"/>
            </w:tcBorders>
          </w:tcPr>
          <w:p w:rsidR="00D45415" w:rsidRPr="00B47B01" w:rsidRDefault="00D45415" w:rsidP="00D45415">
            <w:pPr>
              <w:spacing w:line="276" w:lineRule="auto"/>
              <w:jc w:val="both"/>
              <w:rPr>
                <w:rFonts w:cs="Arial"/>
                <w:lang w:val="en-US"/>
              </w:rPr>
            </w:pPr>
          </w:p>
        </w:tc>
        <w:tc>
          <w:tcPr>
            <w:tcW w:w="9810" w:type="dxa"/>
            <w:gridSpan w:val="7"/>
            <w:tcBorders>
              <w:top w:val="single" w:sz="4" w:space="0" w:color="auto"/>
              <w:left w:val="single" w:sz="4" w:space="0" w:color="auto"/>
              <w:bottom w:val="single" w:sz="4" w:space="0" w:color="auto"/>
              <w:right w:val="single" w:sz="4" w:space="0" w:color="auto"/>
            </w:tcBorders>
          </w:tcPr>
          <w:p w:rsidR="00D45415" w:rsidRPr="00B03ACE" w:rsidRDefault="00D45415" w:rsidP="00D45415">
            <w:pPr>
              <w:spacing w:line="276" w:lineRule="auto"/>
              <w:jc w:val="both"/>
              <w:rPr>
                <w:rFonts w:cs="Arial"/>
                <w:i/>
                <w:lang w:val="en-US"/>
              </w:rPr>
            </w:pPr>
            <w:r>
              <w:rPr>
                <w:rFonts w:cs="Arial"/>
                <w:i/>
                <w:lang w:val="en-US"/>
              </w:rPr>
              <w:t>e.g. please comment on summary income/expenditure/future trends (e.g. recruitment)/mitigating factors etc</w:t>
            </w:r>
          </w:p>
          <w:p w:rsidR="00D45415" w:rsidRDefault="00D45415" w:rsidP="00D45415">
            <w:pPr>
              <w:spacing w:line="276" w:lineRule="auto"/>
              <w:jc w:val="both"/>
              <w:rPr>
                <w:rFonts w:cs="Arial"/>
                <w:lang w:val="en-US"/>
              </w:rPr>
            </w:pPr>
          </w:p>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Pr>
          <w:p w:rsidR="00D45415" w:rsidRPr="00B47B01" w:rsidRDefault="00D45415" w:rsidP="00D45415">
            <w:pPr>
              <w:spacing w:line="276" w:lineRule="auto"/>
              <w:jc w:val="both"/>
              <w:rPr>
                <w:rFonts w:cs="Arial"/>
                <w:lang w:val="en-US"/>
              </w:rPr>
            </w:pPr>
          </w:p>
        </w:tc>
        <w:tc>
          <w:tcPr>
            <w:tcW w:w="9810" w:type="dxa"/>
            <w:gridSpan w:val="7"/>
          </w:tcPr>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Pr>
          <w:p w:rsidR="00D45415" w:rsidRPr="00B47B01" w:rsidRDefault="00D45415" w:rsidP="00D45415">
            <w:pPr>
              <w:spacing w:line="276" w:lineRule="auto"/>
              <w:jc w:val="both"/>
              <w:rPr>
                <w:rFonts w:cs="Arial"/>
                <w:lang w:val="en-US"/>
              </w:rPr>
            </w:pPr>
            <w:r>
              <w:rPr>
                <w:rFonts w:cs="Arial"/>
                <w:lang w:val="en-US"/>
              </w:rPr>
              <w:t>6</w:t>
            </w:r>
            <w:r w:rsidRPr="00B47B01">
              <w:rPr>
                <w:rFonts w:cs="Arial"/>
                <w:lang w:val="en-US"/>
              </w:rPr>
              <w:t>.</w:t>
            </w:r>
          </w:p>
        </w:tc>
        <w:tc>
          <w:tcPr>
            <w:tcW w:w="5168" w:type="dxa"/>
            <w:gridSpan w:val="3"/>
          </w:tcPr>
          <w:p w:rsidR="00D45415" w:rsidRPr="00B47B01" w:rsidRDefault="00D45415" w:rsidP="00D45415">
            <w:pPr>
              <w:spacing w:line="276" w:lineRule="auto"/>
              <w:jc w:val="both"/>
              <w:rPr>
                <w:rFonts w:cs="Arial"/>
                <w:lang w:val="en-US"/>
              </w:rPr>
            </w:pPr>
            <w:r>
              <w:rPr>
                <w:rFonts w:cs="Arial"/>
                <w:lang w:val="en-US"/>
              </w:rPr>
              <w:t>Action Points progressed from 2012-13</w:t>
            </w:r>
          </w:p>
          <w:p w:rsidR="00D45415" w:rsidRPr="00B47B01" w:rsidRDefault="00D45415" w:rsidP="00D45415">
            <w:pPr>
              <w:spacing w:line="276" w:lineRule="auto"/>
              <w:jc w:val="both"/>
              <w:rPr>
                <w:rFonts w:cs="Arial"/>
                <w:lang w:val="en-US"/>
              </w:rPr>
            </w:pPr>
          </w:p>
        </w:tc>
        <w:tc>
          <w:tcPr>
            <w:tcW w:w="4642" w:type="dxa"/>
            <w:gridSpan w:val="4"/>
          </w:tcPr>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Borders>
              <w:right w:val="single" w:sz="4" w:space="0" w:color="auto"/>
            </w:tcBorders>
          </w:tcPr>
          <w:p w:rsidR="00D45415" w:rsidRPr="00B47B01" w:rsidRDefault="00D45415" w:rsidP="00D45415">
            <w:pPr>
              <w:spacing w:line="276" w:lineRule="auto"/>
              <w:jc w:val="both"/>
              <w:rPr>
                <w:rFonts w:cs="Arial"/>
                <w:lang w:val="en-US"/>
              </w:rPr>
            </w:pPr>
          </w:p>
        </w:tc>
        <w:tc>
          <w:tcPr>
            <w:tcW w:w="9810" w:type="dxa"/>
            <w:gridSpan w:val="7"/>
            <w:tcBorders>
              <w:top w:val="single" w:sz="4" w:space="0" w:color="auto"/>
              <w:left w:val="single" w:sz="4" w:space="0" w:color="auto"/>
              <w:bottom w:val="single" w:sz="4" w:space="0" w:color="auto"/>
              <w:right w:val="single" w:sz="4" w:space="0" w:color="auto"/>
            </w:tcBorders>
          </w:tcPr>
          <w:p w:rsidR="00D45415" w:rsidRPr="00B03ACE" w:rsidRDefault="00D45415" w:rsidP="00D45415">
            <w:pPr>
              <w:spacing w:line="276" w:lineRule="auto"/>
              <w:jc w:val="both"/>
              <w:rPr>
                <w:rFonts w:cs="Arial"/>
                <w:i/>
                <w:lang w:val="en-US"/>
              </w:rPr>
            </w:pPr>
            <w:r w:rsidRPr="00B03ACE">
              <w:rPr>
                <w:rFonts w:cs="Arial"/>
                <w:i/>
                <w:lang w:val="en-US"/>
              </w:rPr>
              <w:t>Outline progress with previous year’s action points</w:t>
            </w:r>
          </w:p>
          <w:p w:rsidR="00D45415" w:rsidRDefault="00D45415" w:rsidP="00D45415">
            <w:pPr>
              <w:spacing w:line="276" w:lineRule="auto"/>
              <w:jc w:val="both"/>
              <w:rPr>
                <w:rFonts w:cs="Arial"/>
                <w:lang w:val="en-US"/>
              </w:rPr>
            </w:pPr>
          </w:p>
          <w:p w:rsidR="00D45415" w:rsidRDefault="00D45415" w:rsidP="00D45415">
            <w:pPr>
              <w:spacing w:line="276" w:lineRule="auto"/>
              <w:jc w:val="both"/>
              <w:rPr>
                <w:rFonts w:cs="Arial"/>
                <w:lang w:val="en-US"/>
              </w:rPr>
            </w:pPr>
            <w:r>
              <w:rPr>
                <w:rFonts w:cs="Arial"/>
                <w:lang w:val="en-US"/>
              </w:rPr>
              <w:t xml:space="preserve">N/A for this Report </w:t>
            </w:r>
          </w:p>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Pr>
          <w:p w:rsidR="00D45415" w:rsidRPr="00B47B01" w:rsidRDefault="00D45415" w:rsidP="00D45415">
            <w:pPr>
              <w:spacing w:line="276" w:lineRule="auto"/>
              <w:jc w:val="both"/>
              <w:rPr>
                <w:rFonts w:cs="Arial"/>
                <w:lang w:val="en-US"/>
              </w:rPr>
            </w:pPr>
          </w:p>
        </w:tc>
        <w:tc>
          <w:tcPr>
            <w:tcW w:w="9810" w:type="dxa"/>
            <w:gridSpan w:val="7"/>
            <w:tcBorders>
              <w:top w:val="single" w:sz="4" w:space="0" w:color="auto"/>
            </w:tcBorders>
          </w:tcPr>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Pr>
          <w:p w:rsidR="00D45415" w:rsidRPr="00B47B01" w:rsidRDefault="00D45415" w:rsidP="00D45415">
            <w:pPr>
              <w:spacing w:line="276" w:lineRule="auto"/>
              <w:jc w:val="both"/>
              <w:rPr>
                <w:rFonts w:cs="Arial"/>
                <w:lang w:val="en-US"/>
              </w:rPr>
            </w:pPr>
            <w:r>
              <w:rPr>
                <w:rFonts w:cs="Arial"/>
                <w:lang w:val="en-US"/>
              </w:rPr>
              <w:t>7</w:t>
            </w:r>
            <w:r w:rsidRPr="00B47B01">
              <w:rPr>
                <w:rFonts w:cs="Arial"/>
                <w:lang w:val="en-US"/>
              </w:rPr>
              <w:t>.</w:t>
            </w:r>
          </w:p>
        </w:tc>
        <w:tc>
          <w:tcPr>
            <w:tcW w:w="9810" w:type="dxa"/>
            <w:gridSpan w:val="7"/>
            <w:tcBorders>
              <w:bottom w:val="single" w:sz="4" w:space="0" w:color="auto"/>
            </w:tcBorders>
          </w:tcPr>
          <w:p w:rsidR="00D45415" w:rsidRPr="00B47B01" w:rsidRDefault="00D45415" w:rsidP="00D45415">
            <w:pPr>
              <w:spacing w:line="276" w:lineRule="auto"/>
              <w:jc w:val="both"/>
              <w:rPr>
                <w:rFonts w:cs="Arial"/>
                <w:lang w:val="en-US"/>
              </w:rPr>
            </w:pPr>
            <w:r>
              <w:rPr>
                <w:rFonts w:cs="Arial"/>
                <w:lang w:val="en-US"/>
              </w:rPr>
              <w:t xml:space="preserve">Action Points planned for 2013-14 </w:t>
            </w:r>
          </w:p>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Borders>
              <w:right w:val="single" w:sz="4" w:space="0" w:color="auto"/>
            </w:tcBorders>
          </w:tcPr>
          <w:p w:rsidR="00D45415" w:rsidRPr="00B47B01" w:rsidRDefault="00D45415" w:rsidP="00D45415">
            <w:pPr>
              <w:spacing w:line="276" w:lineRule="auto"/>
              <w:jc w:val="both"/>
              <w:rPr>
                <w:rFonts w:cs="Arial"/>
                <w:lang w:val="en-US"/>
              </w:rPr>
            </w:pPr>
          </w:p>
        </w:tc>
        <w:tc>
          <w:tcPr>
            <w:tcW w:w="9810" w:type="dxa"/>
            <w:gridSpan w:val="7"/>
            <w:tcBorders>
              <w:top w:val="single" w:sz="4" w:space="0" w:color="auto"/>
              <w:left w:val="single" w:sz="4" w:space="0" w:color="auto"/>
              <w:bottom w:val="single" w:sz="4" w:space="0" w:color="auto"/>
              <w:right w:val="single" w:sz="4" w:space="0" w:color="auto"/>
            </w:tcBorders>
          </w:tcPr>
          <w:p w:rsidR="00D45415" w:rsidRPr="00962CB0" w:rsidRDefault="00D45415" w:rsidP="00D45415">
            <w:pPr>
              <w:spacing w:line="276" w:lineRule="auto"/>
              <w:jc w:val="both"/>
              <w:rPr>
                <w:rFonts w:cs="Arial"/>
                <w:i/>
                <w:lang w:val="en-US"/>
              </w:rPr>
            </w:pPr>
            <w:r w:rsidRPr="00962CB0">
              <w:rPr>
                <w:rFonts w:cs="Arial"/>
                <w:i/>
                <w:lang w:val="en-US"/>
              </w:rPr>
              <w:t>Identify any developments planned</w:t>
            </w:r>
          </w:p>
          <w:p w:rsidR="00D45415" w:rsidRDefault="00D45415" w:rsidP="00D45415">
            <w:pPr>
              <w:spacing w:line="276" w:lineRule="auto"/>
              <w:jc w:val="both"/>
              <w:rPr>
                <w:rFonts w:cs="Arial"/>
                <w:lang w:val="en-US"/>
              </w:rPr>
            </w:pPr>
          </w:p>
          <w:p w:rsidR="00D45415" w:rsidRPr="00B47B01" w:rsidRDefault="00D45415" w:rsidP="00D45415">
            <w:pPr>
              <w:spacing w:line="276" w:lineRule="auto"/>
              <w:jc w:val="both"/>
              <w:rPr>
                <w:rFonts w:cs="Arial"/>
                <w:lang w:val="en-US"/>
              </w:rPr>
            </w:pPr>
          </w:p>
        </w:tc>
      </w:tr>
      <w:tr w:rsidR="00D45415" w:rsidRPr="00B47B01" w:rsidTr="004A30ED">
        <w:tblPrEx>
          <w:tblLook w:val="01E0" w:firstRow="1" w:lastRow="1" w:firstColumn="1" w:lastColumn="1" w:noHBand="0" w:noVBand="0"/>
        </w:tblPrEx>
        <w:tc>
          <w:tcPr>
            <w:tcW w:w="550" w:type="dxa"/>
            <w:gridSpan w:val="2"/>
          </w:tcPr>
          <w:p w:rsidR="00D45415" w:rsidRPr="00B47B01" w:rsidRDefault="00D45415" w:rsidP="00D45415">
            <w:pPr>
              <w:spacing w:line="276" w:lineRule="auto"/>
              <w:jc w:val="both"/>
              <w:rPr>
                <w:rFonts w:cs="Arial"/>
                <w:lang w:val="en-US"/>
              </w:rPr>
            </w:pPr>
          </w:p>
        </w:tc>
        <w:tc>
          <w:tcPr>
            <w:tcW w:w="9810" w:type="dxa"/>
            <w:gridSpan w:val="7"/>
            <w:tcBorders>
              <w:top w:val="single" w:sz="4" w:space="0" w:color="auto"/>
            </w:tcBorders>
          </w:tcPr>
          <w:p w:rsidR="00D45415" w:rsidRPr="00B47B01" w:rsidRDefault="00D45415" w:rsidP="00D45415">
            <w:pPr>
              <w:spacing w:line="276" w:lineRule="auto"/>
              <w:jc w:val="both"/>
              <w:rPr>
                <w:rFonts w:cs="Arial"/>
                <w:lang w:val="en-US"/>
              </w:rPr>
            </w:pPr>
          </w:p>
        </w:tc>
      </w:tr>
      <w:tr w:rsidR="00D45415" w:rsidTr="004A30ED">
        <w:trPr>
          <w:gridAfter w:val="1"/>
          <w:wAfter w:w="11" w:type="dxa"/>
        </w:trPr>
        <w:tc>
          <w:tcPr>
            <w:tcW w:w="10349" w:type="dxa"/>
            <w:gridSpan w:val="8"/>
          </w:tcPr>
          <w:p w:rsidR="00D45415" w:rsidRPr="00E02D73" w:rsidRDefault="00D45415" w:rsidP="00D45415">
            <w:pPr>
              <w:tabs>
                <w:tab w:val="left" w:pos="9957"/>
              </w:tabs>
              <w:spacing w:line="276" w:lineRule="auto"/>
              <w:rPr>
                <w:i/>
              </w:rPr>
            </w:pPr>
            <w:r>
              <w:rPr>
                <w:i/>
              </w:rPr>
              <w:t>P</w:t>
            </w:r>
            <w:r w:rsidRPr="00E02D73">
              <w:rPr>
                <w:i/>
              </w:rPr>
              <w:t xml:space="preserve">lease provide relevant </w:t>
            </w:r>
            <w:r>
              <w:rPr>
                <w:i/>
              </w:rPr>
              <w:t xml:space="preserve">summary </w:t>
            </w:r>
            <w:r w:rsidRPr="00E02D73">
              <w:rPr>
                <w:i/>
              </w:rPr>
              <w:t>statistics e.g. applications, admissions, completion data</w:t>
            </w:r>
            <w:r>
              <w:rPr>
                <w:i/>
              </w:rPr>
              <w:t xml:space="preserve"> to support this report</w:t>
            </w:r>
          </w:p>
        </w:tc>
      </w:tr>
      <w:tr w:rsidR="00D45415" w:rsidTr="004A30ED">
        <w:trPr>
          <w:gridAfter w:val="1"/>
          <w:wAfter w:w="11" w:type="dxa"/>
        </w:trPr>
        <w:tc>
          <w:tcPr>
            <w:tcW w:w="2269" w:type="dxa"/>
            <w:gridSpan w:val="3"/>
          </w:tcPr>
          <w:p w:rsidR="00D45415" w:rsidRDefault="00D45415" w:rsidP="00D45415">
            <w:pPr>
              <w:spacing w:line="276" w:lineRule="auto"/>
            </w:pPr>
          </w:p>
        </w:tc>
        <w:tc>
          <w:tcPr>
            <w:tcW w:w="5386" w:type="dxa"/>
            <w:gridSpan w:val="3"/>
          </w:tcPr>
          <w:p w:rsidR="00D45415" w:rsidRDefault="00D45415" w:rsidP="00D45415">
            <w:pPr>
              <w:spacing w:line="276" w:lineRule="auto"/>
            </w:pPr>
          </w:p>
        </w:tc>
        <w:tc>
          <w:tcPr>
            <w:tcW w:w="1418" w:type="dxa"/>
          </w:tcPr>
          <w:p w:rsidR="00D45415" w:rsidRDefault="00D45415" w:rsidP="00D45415">
            <w:pPr>
              <w:spacing w:line="276" w:lineRule="auto"/>
            </w:pPr>
          </w:p>
        </w:tc>
        <w:tc>
          <w:tcPr>
            <w:tcW w:w="1276" w:type="dxa"/>
          </w:tcPr>
          <w:p w:rsidR="00D45415" w:rsidRDefault="00D45415" w:rsidP="00D45415">
            <w:pPr>
              <w:spacing w:line="276" w:lineRule="auto"/>
            </w:pPr>
          </w:p>
        </w:tc>
      </w:tr>
      <w:tr w:rsidR="00D45415" w:rsidTr="004A30ED">
        <w:trPr>
          <w:gridAfter w:val="1"/>
          <w:wAfter w:w="11" w:type="dxa"/>
        </w:trPr>
        <w:tc>
          <w:tcPr>
            <w:tcW w:w="2269" w:type="dxa"/>
            <w:gridSpan w:val="3"/>
          </w:tcPr>
          <w:p w:rsidR="00D45415" w:rsidRDefault="00D45415" w:rsidP="00D45415">
            <w:pPr>
              <w:spacing w:line="276" w:lineRule="auto"/>
            </w:pPr>
          </w:p>
          <w:p w:rsidR="00D45415" w:rsidRDefault="00D45415" w:rsidP="00D45415">
            <w:pPr>
              <w:spacing w:line="276" w:lineRule="auto"/>
            </w:pPr>
            <w:r>
              <w:t>Date for Next Report</w:t>
            </w:r>
          </w:p>
        </w:tc>
        <w:tc>
          <w:tcPr>
            <w:tcW w:w="5386" w:type="dxa"/>
            <w:gridSpan w:val="3"/>
            <w:tcBorders>
              <w:bottom w:val="single" w:sz="4" w:space="0" w:color="auto"/>
            </w:tcBorders>
          </w:tcPr>
          <w:p w:rsidR="00D45415" w:rsidRDefault="00D45415" w:rsidP="00D45415">
            <w:pPr>
              <w:spacing w:line="276" w:lineRule="auto"/>
            </w:pPr>
          </w:p>
          <w:p w:rsidR="00D45415" w:rsidRDefault="00D45415" w:rsidP="00D45415">
            <w:pPr>
              <w:spacing w:line="276" w:lineRule="auto"/>
            </w:pPr>
            <w:r>
              <w:t xml:space="preserve">         30 October 2014</w:t>
            </w:r>
          </w:p>
        </w:tc>
        <w:tc>
          <w:tcPr>
            <w:tcW w:w="1418" w:type="dxa"/>
          </w:tcPr>
          <w:p w:rsidR="00D45415" w:rsidRDefault="00D45415" w:rsidP="00D45415">
            <w:pPr>
              <w:spacing w:line="276" w:lineRule="auto"/>
            </w:pPr>
          </w:p>
        </w:tc>
        <w:tc>
          <w:tcPr>
            <w:tcW w:w="1276" w:type="dxa"/>
          </w:tcPr>
          <w:p w:rsidR="00D45415" w:rsidRDefault="00D45415" w:rsidP="00D45415">
            <w:pPr>
              <w:spacing w:line="276" w:lineRule="auto"/>
            </w:pPr>
          </w:p>
        </w:tc>
      </w:tr>
      <w:tr w:rsidR="00D45415" w:rsidTr="004A30ED">
        <w:trPr>
          <w:gridAfter w:val="1"/>
          <w:wAfter w:w="11" w:type="dxa"/>
        </w:trPr>
        <w:tc>
          <w:tcPr>
            <w:tcW w:w="2269" w:type="dxa"/>
            <w:gridSpan w:val="3"/>
          </w:tcPr>
          <w:p w:rsidR="00D45415" w:rsidRDefault="00D45415" w:rsidP="00D45415">
            <w:pPr>
              <w:spacing w:line="276" w:lineRule="auto"/>
            </w:pPr>
          </w:p>
        </w:tc>
        <w:tc>
          <w:tcPr>
            <w:tcW w:w="5386" w:type="dxa"/>
            <w:gridSpan w:val="3"/>
            <w:tcBorders>
              <w:top w:val="single" w:sz="4" w:space="0" w:color="auto"/>
            </w:tcBorders>
          </w:tcPr>
          <w:p w:rsidR="00D45415" w:rsidRDefault="00D45415" w:rsidP="00D45415">
            <w:pPr>
              <w:spacing w:line="276" w:lineRule="auto"/>
            </w:pPr>
          </w:p>
        </w:tc>
        <w:tc>
          <w:tcPr>
            <w:tcW w:w="1418" w:type="dxa"/>
          </w:tcPr>
          <w:p w:rsidR="00D45415" w:rsidRDefault="00D45415" w:rsidP="00D45415">
            <w:pPr>
              <w:spacing w:line="276" w:lineRule="auto"/>
            </w:pPr>
          </w:p>
        </w:tc>
        <w:tc>
          <w:tcPr>
            <w:tcW w:w="1276" w:type="dxa"/>
          </w:tcPr>
          <w:p w:rsidR="00D45415" w:rsidRDefault="00D45415" w:rsidP="00D45415">
            <w:pPr>
              <w:spacing w:line="276" w:lineRule="auto"/>
            </w:pPr>
          </w:p>
        </w:tc>
      </w:tr>
      <w:tr w:rsidR="00D45415" w:rsidTr="004A30ED">
        <w:trPr>
          <w:gridAfter w:val="1"/>
          <w:wAfter w:w="11" w:type="dxa"/>
        </w:trPr>
        <w:tc>
          <w:tcPr>
            <w:tcW w:w="2269" w:type="dxa"/>
            <w:gridSpan w:val="3"/>
          </w:tcPr>
          <w:p w:rsidR="00D45415" w:rsidRDefault="00D45415" w:rsidP="00D45415">
            <w:pPr>
              <w:spacing w:line="276" w:lineRule="auto"/>
            </w:pPr>
          </w:p>
          <w:p w:rsidR="00D45415" w:rsidRDefault="00D45415" w:rsidP="00D45415">
            <w:pPr>
              <w:spacing w:line="276" w:lineRule="auto"/>
            </w:pPr>
            <w:r>
              <w:t>Signed</w:t>
            </w:r>
          </w:p>
        </w:tc>
        <w:tc>
          <w:tcPr>
            <w:tcW w:w="5386" w:type="dxa"/>
            <w:gridSpan w:val="3"/>
            <w:tcBorders>
              <w:bottom w:val="single" w:sz="4" w:space="0" w:color="auto"/>
            </w:tcBorders>
          </w:tcPr>
          <w:p w:rsidR="00D45415" w:rsidRDefault="00D45415" w:rsidP="00D45415">
            <w:pPr>
              <w:spacing w:line="276" w:lineRule="auto"/>
            </w:pPr>
          </w:p>
          <w:p w:rsidR="00D45415" w:rsidRDefault="00D45415" w:rsidP="00D45415">
            <w:pPr>
              <w:spacing w:line="276" w:lineRule="auto"/>
            </w:pPr>
          </w:p>
          <w:p w:rsidR="00D45415" w:rsidRDefault="00D45415" w:rsidP="00D45415">
            <w:pPr>
              <w:spacing w:line="276" w:lineRule="auto"/>
            </w:pPr>
          </w:p>
        </w:tc>
        <w:tc>
          <w:tcPr>
            <w:tcW w:w="1418" w:type="dxa"/>
          </w:tcPr>
          <w:p w:rsidR="00D45415" w:rsidRDefault="00D45415" w:rsidP="00D45415">
            <w:pPr>
              <w:spacing w:line="276" w:lineRule="auto"/>
            </w:pPr>
          </w:p>
          <w:p w:rsidR="00D45415" w:rsidRDefault="00D45415" w:rsidP="00D45415">
            <w:pPr>
              <w:spacing w:line="276" w:lineRule="auto"/>
            </w:pPr>
          </w:p>
          <w:p w:rsidR="00D45415" w:rsidRDefault="00D45415" w:rsidP="00D45415">
            <w:pPr>
              <w:spacing w:line="276" w:lineRule="auto"/>
            </w:pPr>
            <w:r>
              <w:t>Date</w:t>
            </w:r>
          </w:p>
        </w:tc>
        <w:tc>
          <w:tcPr>
            <w:tcW w:w="1276" w:type="dxa"/>
            <w:tcBorders>
              <w:bottom w:val="single" w:sz="4" w:space="0" w:color="auto"/>
            </w:tcBorders>
          </w:tcPr>
          <w:p w:rsidR="00D45415" w:rsidRDefault="00D45415" w:rsidP="00D45415">
            <w:pPr>
              <w:spacing w:line="276" w:lineRule="auto"/>
            </w:pPr>
          </w:p>
          <w:p w:rsidR="00D45415" w:rsidRDefault="00D45415" w:rsidP="00D45415">
            <w:pPr>
              <w:spacing w:line="276" w:lineRule="auto"/>
            </w:pPr>
          </w:p>
          <w:p w:rsidR="00D45415" w:rsidRDefault="00D45415" w:rsidP="00D45415">
            <w:pPr>
              <w:spacing w:line="276" w:lineRule="auto"/>
            </w:pPr>
          </w:p>
        </w:tc>
      </w:tr>
      <w:tr w:rsidR="00D45415" w:rsidTr="004A30ED">
        <w:trPr>
          <w:gridAfter w:val="1"/>
          <w:wAfter w:w="11" w:type="dxa"/>
        </w:trPr>
        <w:tc>
          <w:tcPr>
            <w:tcW w:w="2269" w:type="dxa"/>
            <w:gridSpan w:val="3"/>
          </w:tcPr>
          <w:p w:rsidR="00D45415" w:rsidRDefault="00D45415" w:rsidP="00D45415">
            <w:pPr>
              <w:spacing w:line="276" w:lineRule="auto"/>
            </w:pPr>
          </w:p>
        </w:tc>
        <w:tc>
          <w:tcPr>
            <w:tcW w:w="5386" w:type="dxa"/>
            <w:gridSpan w:val="3"/>
            <w:tcBorders>
              <w:top w:val="single" w:sz="4" w:space="0" w:color="auto"/>
            </w:tcBorders>
          </w:tcPr>
          <w:p w:rsidR="00D45415" w:rsidRDefault="00D45415" w:rsidP="00D45415">
            <w:pPr>
              <w:spacing w:line="276" w:lineRule="auto"/>
              <w:rPr>
                <w:rFonts w:cs="Arial"/>
                <w:i/>
                <w:lang w:val="en-US"/>
              </w:rPr>
            </w:pPr>
            <w:r>
              <w:rPr>
                <w:rFonts w:cs="Arial"/>
                <w:i/>
                <w:lang w:val="en-US"/>
              </w:rPr>
              <w:t>Campus Provost/</w:t>
            </w:r>
            <w:r w:rsidRPr="00B03ACE">
              <w:rPr>
                <w:rFonts w:cs="Arial"/>
                <w:i/>
                <w:lang w:val="en-US"/>
              </w:rPr>
              <w:t>Programme Board Chair/Coordinator</w:t>
            </w:r>
            <w:r>
              <w:rPr>
                <w:rFonts w:cs="Arial"/>
                <w:i/>
                <w:lang w:val="en-US"/>
              </w:rPr>
              <w:t xml:space="preserve"> </w:t>
            </w:r>
          </w:p>
          <w:p w:rsidR="00D45415" w:rsidRDefault="00D45415" w:rsidP="00D45415">
            <w:pPr>
              <w:spacing w:line="276" w:lineRule="auto"/>
            </w:pPr>
            <w:r>
              <w:rPr>
                <w:rFonts w:cs="Arial"/>
                <w:i/>
                <w:lang w:val="en-US"/>
              </w:rPr>
              <w:t>(or equivalent)</w:t>
            </w:r>
          </w:p>
        </w:tc>
        <w:tc>
          <w:tcPr>
            <w:tcW w:w="1418" w:type="dxa"/>
          </w:tcPr>
          <w:p w:rsidR="00D45415" w:rsidRDefault="00D45415" w:rsidP="00D45415">
            <w:pPr>
              <w:spacing w:line="276" w:lineRule="auto"/>
            </w:pPr>
          </w:p>
        </w:tc>
        <w:tc>
          <w:tcPr>
            <w:tcW w:w="1276" w:type="dxa"/>
            <w:tcBorders>
              <w:top w:val="single" w:sz="4" w:space="0" w:color="auto"/>
            </w:tcBorders>
          </w:tcPr>
          <w:p w:rsidR="00D45415" w:rsidRDefault="00D45415" w:rsidP="00D45415">
            <w:pPr>
              <w:spacing w:line="276" w:lineRule="auto"/>
            </w:pPr>
          </w:p>
        </w:tc>
      </w:tr>
      <w:tr w:rsidR="00D45415" w:rsidTr="004A30ED">
        <w:trPr>
          <w:gridAfter w:val="1"/>
          <w:wAfter w:w="11" w:type="dxa"/>
        </w:trPr>
        <w:tc>
          <w:tcPr>
            <w:tcW w:w="2269" w:type="dxa"/>
            <w:gridSpan w:val="3"/>
          </w:tcPr>
          <w:p w:rsidR="00D45415" w:rsidRDefault="00D45415" w:rsidP="00D45415">
            <w:pPr>
              <w:spacing w:line="276" w:lineRule="auto"/>
            </w:pPr>
          </w:p>
          <w:p w:rsidR="00D45415" w:rsidRDefault="00D45415" w:rsidP="00D45415">
            <w:pPr>
              <w:spacing w:line="276" w:lineRule="auto"/>
            </w:pPr>
            <w:r>
              <w:t>Signed</w:t>
            </w:r>
          </w:p>
          <w:p w:rsidR="00D45415" w:rsidRDefault="00D45415" w:rsidP="00D45415">
            <w:pPr>
              <w:spacing w:line="276" w:lineRule="auto"/>
            </w:pPr>
            <w:r>
              <w:t>(if appropriate)</w:t>
            </w:r>
          </w:p>
        </w:tc>
        <w:tc>
          <w:tcPr>
            <w:tcW w:w="5386" w:type="dxa"/>
            <w:gridSpan w:val="3"/>
            <w:tcBorders>
              <w:bottom w:val="single" w:sz="4" w:space="0" w:color="auto"/>
            </w:tcBorders>
          </w:tcPr>
          <w:p w:rsidR="00D45415" w:rsidRDefault="00D45415" w:rsidP="00D45415">
            <w:pPr>
              <w:spacing w:line="276" w:lineRule="auto"/>
            </w:pPr>
          </w:p>
          <w:p w:rsidR="00D45415" w:rsidRDefault="00D45415" w:rsidP="00D45415">
            <w:pPr>
              <w:spacing w:line="276" w:lineRule="auto"/>
            </w:pPr>
          </w:p>
          <w:p w:rsidR="00D45415" w:rsidRDefault="00D45415" w:rsidP="00D45415">
            <w:pPr>
              <w:spacing w:line="276" w:lineRule="auto"/>
            </w:pPr>
          </w:p>
        </w:tc>
        <w:tc>
          <w:tcPr>
            <w:tcW w:w="1418" w:type="dxa"/>
          </w:tcPr>
          <w:p w:rsidR="00D45415" w:rsidRDefault="00D45415" w:rsidP="00D45415">
            <w:pPr>
              <w:spacing w:line="276" w:lineRule="auto"/>
            </w:pPr>
          </w:p>
          <w:p w:rsidR="00D45415" w:rsidRDefault="00D45415" w:rsidP="00D45415">
            <w:pPr>
              <w:spacing w:line="276" w:lineRule="auto"/>
            </w:pPr>
          </w:p>
          <w:p w:rsidR="00D45415" w:rsidRDefault="00D45415" w:rsidP="00D45415">
            <w:pPr>
              <w:spacing w:line="276" w:lineRule="auto"/>
            </w:pPr>
            <w:r>
              <w:t>Date</w:t>
            </w:r>
          </w:p>
        </w:tc>
        <w:tc>
          <w:tcPr>
            <w:tcW w:w="1276" w:type="dxa"/>
            <w:tcBorders>
              <w:bottom w:val="single" w:sz="4" w:space="0" w:color="auto"/>
            </w:tcBorders>
          </w:tcPr>
          <w:p w:rsidR="00D45415" w:rsidRDefault="00D45415" w:rsidP="00D45415">
            <w:pPr>
              <w:spacing w:line="276" w:lineRule="auto"/>
            </w:pPr>
          </w:p>
          <w:p w:rsidR="00D45415" w:rsidRDefault="00D45415" w:rsidP="00D45415">
            <w:pPr>
              <w:spacing w:line="276" w:lineRule="auto"/>
            </w:pPr>
          </w:p>
          <w:p w:rsidR="00D45415" w:rsidRDefault="00D45415" w:rsidP="00D45415">
            <w:pPr>
              <w:spacing w:line="276" w:lineRule="auto"/>
            </w:pPr>
          </w:p>
        </w:tc>
      </w:tr>
      <w:tr w:rsidR="00D45415" w:rsidTr="004A30ED">
        <w:trPr>
          <w:gridAfter w:val="1"/>
          <w:wAfter w:w="11" w:type="dxa"/>
        </w:trPr>
        <w:tc>
          <w:tcPr>
            <w:tcW w:w="2269" w:type="dxa"/>
            <w:gridSpan w:val="3"/>
          </w:tcPr>
          <w:p w:rsidR="00D45415" w:rsidRDefault="00D45415" w:rsidP="00D45415">
            <w:pPr>
              <w:spacing w:line="276" w:lineRule="auto"/>
            </w:pPr>
          </w:p>
        </w:tc>
        <w:tc>
          <w:tcPr>
            <w:tcW w:w="5386" w:type="dxa"/>
            <w:gridSpan w:val="3"/>
            <w:tcBorders>
              <w:top w:val="single" w:sz="4" w:space="0" w:color="auto"/>
            </w:tcBorders>
          </w:tcPr>
          <w:p w:rsidR="00D45415" w:rsidRDefault="00D45415" w:rsidP="00D45415">
            <w:pPr>
              <w:spacing w:line="276" w:lineRule="auto"/>
            </w:pPr>
            <w:r>
              <w:rPr>
                <w:rFonts w:cs="Arial"/>
                <w:i/>
                <w:lang w:val="en-US"/>
              </w:rPr>
              <w:t>Head of UCD School</w:t>
            </w:r>
          </w:p>
        </w:tc>
        <w:tc>
          <w:tcPr>
            <w:tcW w:w="1418" w:type="dxa"/>
          </w:tcPr>
          <w:p w:rsidR="00D45415" w:rsidRDefault="00D45415" w:rsidP="00D45415">
            <w:pPr>
              <w:spacing w:line="276" w:lineRule="auto"/>
            </w:pPr>
          </w:p>
        </w:tc>
        <w:tc>
          <w:tcPr>
            <w:tcW w:w="1276" w:type="dxa"/>
            <w:tcBorders>
              <w:top w:val="single" w:sz="4" w:space="0" w:color="auto"/>
            </w:tcBorders>
          </w:tcPr>
          <w:p w:rsidR="00D45415" w:rsidRDefault="00D45415" w:rsidP="00D45415">
            <w:pPr>
              <w:spacing w:line="276" w:lineRule="auto"/>
            </w:pPr>
          </w:p>
        </w:tc>
      </w:tr>
    </w:tbl>
    <w:p w:rsidR="00D45415" w:rsidRDefault="00D45415" w:rsidP="00D45415">
      <w:pPr>
        <w:spacing w:after="0"/>
        <w:ind w:right="-613" w:hanging="567"/>
        <w:jc w:val="both"/>
        <w:rPr>
          <w:b/>
          <w:i/>
          <w:lang w:val="en-US"/>
        </w:rPr>
      </w:pPr>
    </w:p>
    <w:p w:rsidR="00D45415" w:rsidRDefault="00D45415" w:rsidP="00D45415">
      <w:pPr>
        <w:spacing w:after="0"/>
        <w:ind w:right="-613" w:hanging="567"/>
        <w:jc w:val="both"/>
        <w:rPr>
          <w:b/>
          <w:i/>
          <w:lang w:val="en-US"/>
        </w:rPr>
      </w:pPr>
      <w:r w:rsidRPr="007F4699">
        <w:rPr>
          <w:b/>
          <w:i/>
          <w:lang w:val="en-US"/>
        </w:rPr>
        <w:t>Please return the completed form to the UCD Quality Office, Room 130</w:t>
      </w:r>
      <w:r>
        <w:rPr>
          <w:b/>
          <w:i/>
          <w:lang w:val="en-US"/>
        </w:rPr>
        <w:t xml:space="preserve">, </w:t>
      </w:r>
      <w:proofErr w:type="gramStart"/>
      <w:r>
        <w:rPr>
          <w:b/>
          <w:i/>
          <w:lang w:val="en-US"/>
        </w:rPr>
        <w:t>Tierney</w:t>
      </w:r>
      <w:proofErr w:type="gramEnd"/>
      <w:r>
        <w:rPr>
          <w:b/>
          <w:i/>
          <w:lang w:val="en-US"/>
        </w:rPr>
        <w:t xml:space="preserve"> Building by </w:t>
      </w:r>
      <w:r w:rsidRPr="00E02D73">
        <w:rPr>
          <w:b/>
          <w:i/>
          <w:u w:val="single"/>
          <w:lang w:val="en-US"/>
        </w:rPr>
        <w:t>30 October 2013</w:t>
      </w:r>
      <w:r>
        <w:rPr>
          <w:b/>
          <w:i/>
          <w:lang w:val="en-US"/>
        </w:rPr>
        <w:t xml:space="preserve"> </w:t>
      </w:r>
    </w:p>
    <w:p w:rsidR="00D45415" w:rsidRDefault="00D45415">
      <w:pPr>
        <w:rPr>
          <w:b/>
          <w:i/>
          <w:lang w:val="en-US"/>
        </w:rPr>
      </w:pPr>
      <w:r>
        <w:rPr>
          <w:b/>
          <w:i/>
          <w:lang w:val="en-US"/>
        </w:rPr>
        <w:br w:type="page"/>
      </w:r>
    </w:p>
    <w:p w:rsidR="0054341C" w:rsidRDefault="00D45415" w:rsidP="00D45415">
      <w:pPr>
        <w:spacing w:after="0"/>
        <w:ind w:right="-613" w:hanging="567"/>
        <w:jc w:val="right"/>
        <w:rPr>
          <w:b/>
          <w:lang w:val="en-US"/>
        </w:rPr>
      </w:pPr>
      <w:r w:rsidRPr="00D45415">
        <w:rPr>
          <w:b/>
          <w:lang w:val="en-US"/>
        </w:rPr>
        <w:lastRenderedPageBreak/>
        <w:t>Appendix 2</w:t>
      </w:r>
    </w:p>
    <w:p w:rsidR="00D45415" w:rsidRDefault="00D45415" w:rsidP="00D45415">
      <w:pPr>
        <w:spacing w:after="0"/>
        <w:ind w:right="-613" w:hanging="567"/>
        <w:jc w:val="right"/>
        <w:rPr>
          <w:b/>
          <w:lang w:val="en-US"/>
        </w:rPr>
      </w:pPr>
    </w:p>
    <w:p w:rsidR="00D45415" w:rsidRDefault="00D45415" w:rsidP="00D45415">
      <w:pPr>
        <w:spacing w:after="0"/>
        <w:ind w:right="-613" w:hanging="567"/>
        <w:jc w:val="center"/>
        <w:rPr>
          <w:b/>
          <w:lang w:val="en-US"/>
        </w:rPr>
      </w:pPr>
      <w:r>
        <w:rPr>
          <w:b/>
          <w:lang w:val="en-US"/>
        </w:rPr>
        <w:t>Annual Report Extract</w:t>
      </w:r>
    </w:p>
    <w:p w:rsidR="00D45415" w:rsidRDefault="00D45415" w:rsidP="00D45415">
      <w:pPr>
        <w:spacing w:after="0"/>
        <w:ind w:right="-613" w:hanging="567"/>
        <w:jc w:val="center"/>
        <w:rPr>
          <w:b/>
          <w:lang w:val="en-US"/>
        </w:rPr>
      </w:pPr>
    </w:p>
    <w:p w:rsidR="00D45415" w:rsidRDefault="00D45415" w:rsidP="00D45415">
      <w:pPr>
        <w:spacing w:after="0"/>
        <w:ind w:right="-613" w:hanging="567"/>
        <w:jc w:val="center"/>
        <w:rPr>
          <w:b/>
          <w:lang w:val="en-US"/>
        </w:rPr>
      </w:pPr>
      <w:r>
        <w:rPr>
          <w:b/>
          <w:lang w:val="en-US"/>
        </w:rPr>
        <w:t>Student Survey Exemplar</w:t>
      </w:r>
    </w:p>
    <w:p w:rsidR="00D45415" w:rsidRDefault="00D45415" w:rsidP="00D45415">
      <w:pPr>
        <w:spacing w:after="0"/>
        <w:ind w:right="-613" w:hanging="567"/>
        <w:jc w:val="center"/>
        <w:rPr>
          <w:b/>
          <w:lang w:val="en-US"/>
        </w:rPr>
      </w:pPr>
    </w:p>
    <w:p w:rsidR="00D45415" w:rsidRDefault="00D45415" w:rsidP="00D45415">
      <w:pPr>
        <w:spacing w:after="0"/>
        <w:ind w:right="-613" w:hanging="567"/>
        <w:jc w:val="right"/>
        <w:rPr>
          <w:b/>
          <w:lang w:val="en-US"/>
        </w:rPr>
      </w:pPr>
    </w:p>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91"/>
      </w:tblGrid>
      <w:tr w:rsidR="00D45415" w:rsidRPr="00B47B01" w:rsidTr="00D45415">
        <w:tc>
          <w:tcPr>
            <w:tcW w:w="10491" w:type="dxa"/>
            <w:tcBorders>
              <w:top w:val="single" w:sz="4" w:space="0" w:color="auto"/>
              <w:left w:val="single" w:sz="4" w:space="0" w:color="auto"/>
              <w:bottom w:val="single" w:sz="4" w:space="0" w:color="auto"/>
              <w:right w:val="single" w:sz="4" w:space="0" w:color="auto"/>
            </w:tcBorders>
          </w:tcPr>
          <w:p w:rsidR="00D45415" w:rsidRPr="00B47B01" w:rsidRDefault="00D45415" w:rsidP="00D45415">
            <w:pPr>
              <w:jc w:val="both"/>
              <w:rPr>
                <w:rFonts w:cs="Arial"/>
                <w:lang w:val="en-US"/>
              </w:rPr>
            </w:pPr>
            <w:proofErr w:type="spellStart"/>
            <w:r w:rsidRPr="00B03ACE">
              <w:rPr>
                <w:rFonts w:cs="Arial"/>
                <w:i/>
                <w:lang w:val="en-US"/>
              </w:rPr>
              <w:t>Summarise</w:t>
            </w:r>
            <w:proofErr w:type="spellEnd"/>
            <w:r w:rsidRPr="00B03ACE">
              <w:rPr>
                <w:rFonts w:cs="Arial"/>
                <w:i/>
                <w:lang w:val="en-US"/>
              </w:rPr>
              <w:t xml:space="preserve"> student feedback from </w:t>
            </w:r>
            <w:r>
              <w:rPr>
                <w:rFonts w:cs="Arial"/>
                <w:i/>
                <w:lang w:val="en-US"/>
              </w:rPr>
              <w:t xml:space="preserve">e.g. </w:t>
            </w:r>
            <w:r w:rsidRPr="00B03ACE">
              <w:rPr>
                <w:rFonts w:cs="Arial"/>
                <w:i/>
                <w:lang w:val="en-US"/>
              </w:rPr>
              <w:t>modules, staff-student meetings</w:t>
            </w:r>
            <w:r>
              <w:rPr>
                <w:rFonts w:cs="Arial"/>
                <w:i/>
                <w:lang w:val="en-US"/>
              </w:rPr>
              <w:t>, etc.</w:t>
            </w:r>
            <w:r w:rsidRPr="00B03ACE">
              <w:rPr>
                <w:rFonts w:cs="Arial"/>
                <w:i/>
                <w:lang w:val="en-US"/>
              </w:rPr>
              <w:t xml:space="preserve"> </w:t>
            </w:r>
          </w:p>
          <w:p w:rsidR="00D45415" w:rsidRDefault="00D45415" w:rsidP="00D45415">
            <w:pPr>
              <w:jc w:val="both"/>
              <w:rPr>
                <w:rFonts w:cs="Arial"/>
                <w:color w:val="FF0000"/>
                <w:lang w:val="en-US"/>
              </w:rPr>
            </w:pPr>
          </w:p>
          <w:p w:rsidR="00D45415" w:rsidRDefault="00D45415" w:rsidP="00D45415">
            <w:pPr>
              <w:rPr>
                <w:b/>
              </w:rPr>
            </w:pPr>
            <w:r>
              <w:rPr>
                <w:b/>
              </w:rPr>
              <w:t xml:space="preserve">Student feedback in the form of an X </w:t>
            </w:r>
            <w:r w:rsidRPr="00905409">
              <w:rPr>
                <w:b/>
              </w:rPr>
              <w:t>Programme Level Student Survey</w:t>
            </w:r>
            <w:r>
              <w:rPr>
                <w:b/>
              </w:rPr>
              <w:t xml:space="preserve"> for the </w:t>
            </w:r>
            <w:r w:rsidRPr="00905409">
              <w:rPr>
                <w:b/>
              </w:rPr>
              <w:t>Academic Year 2012-13</w:t>
            </w:r>
            <w:r>
              <w:rPr>
                <w:b/>
              </w:rPr>
              <w:t xml:space="preserve"> is presented below.</w:t>
            </w:r>
          </w:p>
          <w:p w:rsidR="00D45415" w:rsidRDefault="00D45415" w:rsidP="00D45415"/>
          <w:p w:rsidR="00D45415" w:rsidRDefault="00D45415" w:rsidP="00D45415">
            <w:r>
              <w:t xml:space="preserve">“You are being asked to complete this survey so that we can continue to make the </w:t>
            </w:r>
            <w:r w:rsidR="000C4FB0">
              <w:t>X</w:t>
            </w:r>
            <w:r>
              <w:t xml:space="preserve"> Programme a positive experience for all students.</w:t>
            </w:r>
            <w:r w:rsidR="000C4FB0">
              <w:t xml:space="preserve"> </w:t>
            </w:r>
            <w:r>
              <w:t>All forms are anonymous and both positive comments and points giving constructive criticism and/or feedback are welcome.</w:t>
            </w:r>
          </w:p>
          <w:p w:rsidR="00D45415" w:rsidRDefault="00D45415" w:rsidP="00D45415"/>
          <w:p w:rsidR="00D45415" w:rsidRPr="000809A0" w:rsidRDefault="00D45415" w:rsidP="00D45415">
            <w:r w:rsidRPr="000809A0">
              <w:t xml:space="preserve">(NOTE: </w:t>
            </w:r>
            <w:r w:rsidR="000C4FB0">
              <w:t xml:space="preserve">X </w:t>
            </w:r>
            <w:r w:rsidRPr="000809A0">
              <w:t>st</w:t>
            </w:r>
            <w:r w:rsidR="000C4FB0">
              <w:t>udents in total were recruited</w:t>
            </w:r>
            <w:r w:rsidRPr="000809A0">
              <w:t>)</w:t>
            </w:r>
          </w:p>
          <w:p w:rsidR="00D45415" w:rsidRDefault="00D45415" w:rsidP="00D45415"/>
          <w:p w:rsidR="00D45415" w:rsidRDefault="00D45415" w:rsidP="00D45415">
            <w:r>
              <w:t>Please answer the following questions.</w:t>
            </w:r>
          </w:p>
          <w:p w:rsidR="00D45415" w:rsidRDefault="00D45415" w:rsidP="00D45415"/>
          <w:p w:rsidR="00D45415" w:rsidRDefault="00D45415" w:rsidP="00D45415">
            <w:pPr>
              <w:jc w:val="center"/>
              <w:rPr>
                <w:b/>
              </w:rPr>
            </w:pPr>
            <w:r w:rsidRPr="00905409">
              <w:rPr>
                <w:b/>
              </w:rPr>
              <w:t>Overall Academic Development</w:t>
            </w:r>
          </w:p>
          <w:p w:rsidR="000C4FB0" w:rsidRPr="00905409" w:rsidRDefault="000C4FB0" w:rsidP="00D45415">
            <w:pPr>
              <w:jc w:val="center"/>
              <w:rPr>
                <w:b/>
              </w:rPr>
            </w:pPr>
          </w:p>
          <w:p w:rsidR="00D45415" w:rsidRDefault="00D45415" w:rsidP="00D45415">
            <w:pPr>
              <w:numPr>
                <w:ilvl w:val="0"/>
                <w:numId w:val="9"/>
              </w:numPr>
            </w:pPr>
            <w:r>
              <w:t>Which module did you find of most benefit to your academic knowledge and development?</w:t>
            </w:r>
          </w:p>
          <w:p w:rsidR="00D45415" w:rsidRDefault="00D45415" w:rsidP="00D45415">
            <w:pPr>
              <w:ind w:left="720"/>
            </w:pPr>
            <w:r>
              <w:rPr>
                <w:rFonts w:hint="eastAsia"/>
                <w:noProof/>
                <w:lang w:val="en-GB" w:eastAsia="en-GB"/>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286000" cy="1523365"/>
                  <wp:effectExtent l="0" t="0" r="0" b="3175"/>
                  <wp:wrapThrough wrapText="bothSides">
                    <wp:wrapPolygon edited="0">
                      <wp:start x="0" y="0"/>
                      <wp:lineTo x="21600" y="0"/>
                      <wp:lineTo x="21600" y="21600"/>
                      <wp:lineTo x="0" y="21600"/>
                      <wp:lineTo x="0" y="0"/>
                    </wp:wrapPolygon>
                  </wp:wrapThrough>
                  <wp:docPr id="7"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D45415" w:rsidRPr="00A96AAE" w:rsidRDefault="00D45415" w:rsidP="00D45415">
            <w:pPr>
              <w:ind w:left="2160"/>
              <w:rPr>
                <w:color w:val="0000FF"/>
                <w:sz w:val="20"/>
                <w:szCs w:val="20"/>
                <w:lang w:val="en-US" w:eastAsia="zh-CN"/>
              </w:rPr>
            </w:pPr>
            <w:r w:rsidRPr="00A96AAE">
              <w:rPr>
                <w:color w:val="0000FF"/>
                <w:sz w:val="20"/>
                <w:szCs w:val="20"/>
                <w:lang w:val="en-US" w:eastAsia="zh-CN"/>
              </w:rPr>
              <w:t xml:space="preserve">1) </w:t>
            </w:r>
            <w:r>
              <w:rPr>
                <w:color w:val="0000FF"/>
                <w:sz w:val="20"/>
                <w:szCs w:val="20"/>
                <w:lang w:val="en-US" w:eastAsia="zh-CN"/>
              </w:rPr>
              <w:t>Reasons for choices</w:t>
            </w:r>
            <w:r w:rsidRPr="00A96AAE">
              <w:rPr>
                <w:color w:val="0000FF"/>
                <w:sz w:val="20"/>
                <w:szCs w:val="20"/>
                <w:lang w:val="en-US" w:eastAsia="zh-CN"/>
              </w:rPr>
              <w:t xml:space="preserve"> include</w:t>
            </w:r>
            <w:r>
              <w:rPr>
                <w:color w:val="0000FF"/>
                <w:sz w:val="20"/>
                <w:szCs w:val="20"/>
                <w:lang w:val="en-US" w:eastAsia="zh-CN"/>
              </w:rPr>
              <w:t>d</w:t>
            </w:r>
            <w:r w:rsidRPr="00A96AAE">
              <w:rPr>
                <w:color w:val="0000FF"/>
                <w:sz w:val="20"/>
                <w:szCs w:val="20"/>
                <w:lang w:val="en-US" w:eastAsia="zh-CN"/>
              </w:rPr>
              <w:t>: “interesting” “useful” “practical” “basic knowledge to learn”.</w:t>
            </w:r>
          </w:p>
          <w:p w:rsidR="00D45415" w:rsidRPr="00A96AAE" w:rsidRDefault="00D45415" w:rsidP="00D45415">
            <w:pPr>
              <w:ind w:left="1440"/>
              <w:rPr>
                <w:color w:val="0000FF"/>
                <w:sz w:val="20"/>
                <w:szCs w:val="20"/>
                <w:lang w:val="en-US" w:eastAsia="zh-CN"/>
              </w:rPr>
            </w:pPr>
            <w:r w:rsidRPr="00A96AAE">
              <w:rPr>
                <w:color w:val="0000FF"/>
                <w:sz w:val="20"/>
                <w:szCs w:val="20"/>
                <w:lang w:val="en-US" w:eastAsia="zh-CN"/>
              </w:rPr>
              <w:t>2) Other chosen modules/activities include</w:t>
            </w:r>
            <w:r>
              <w:rPr>
                <w:color w:val="0000FF"/>
                <w:sz w:val="20"/>
                <w:szCs w:val="20"/>
                <w:lang w:val="en-US" w:eastAsia="zh-CN"/>
              </w:rPr>
              <w:t>d</w:t>
            </w:r>
            <w:r w:rsidRPr="00A96AAE">
              <w:rPr>
                <w:color w:val="0000FF"/>
                <w:sz w:val="20"/>
                <w:szCs w:val="20"/>
                <w:lang w:val="en-US" w:eastAsia="zh-CN"/>
              </w:rPr>
              <w:t>: “Irish culture” “group discussion” “experiment” “spoken English”</w:t>
            </w:r>
          </w:p>
          <w:p w:rsidR="00D45415" w:rsidRPr="001869FD" w:rsidRDefault="00D45415" w:rsidP="00D45415">
            <w:pPr>
              <w:rPr>
                <w:color w:val="0000FF"/>
              </w:rPr>
            </w:pPr>
          </w:p>
          <w:p w:rsidR="00D45415" w:rsidRDefault="00D45415" w:rsidP="00D45415"/>
          <w:p w:rsidR="00D45415" w:rsidRDefault="00D45415" w:rsidP="00D45415">
            <w:pPr>
              <w:rPr>
                <w:rFonts w:eastAsia="SimSun"/>
                <w:lang w:val="en-US" w:eastAsia="zh-CN"/>
              </w:rPr>
            </w:pPr>
          </w:p>
          <w:p w:rsidR="00D45415" w:rsidRDefault="00D45415" w:rsidP="00D45415">
            <w:pPr>
              <w:rPr>
                <w:b/>
              </w:rPr>
            </w:pPr>
          </w:p>
          <w:p w:rsidR="000C4FB0" w:rsidRDefault="000C4FB0" w:rsidP="00D45415">
            <w:pPr>
              <w:rPr>
                <w:b/>
              </w:rPr>
            </w:pPr>
          </w:p>
          <w:p w:rsidR="00D45415" w:rsidRDefault="00D45415" w:rsidP="00D45415">
            <w:pPr>
              <w:jc w:val="center"/>
              <w:rPr>
                <w:b/>
              </w:rPr>
            </w:pPr>
            <w:r w:rsidRPr="00905409">
              <w:rPr>
                <w:b/>
              </w:rPr>
              <w:t>Module Content &amp; Delivery</w:t>
            </w:r>
          </w:p>
          <w:p w:rsidR="000C4FB0" w:rsidRPr="00905409" w:rsidRDefault="000C4FB0" w:rsidP="00D45415">
            <w:pPr>
              <w:jc w:val="center"/>
              <w:rPr>
                <w:b/>
              </w:rPr>
            </w:pPr>
          </w:p>
          <w:p w:rsidR="00D45415" w:rsidRDefault="00D45415" w:rsidP="00D45415">
            <w:pPr>
              <w:numPr>
                <w:ilvl w:val="0"/>
                <w:numId w:val="9"/>
              </w:numPr>
            </w:pPr>
            <w:r>
              <w:t>Which module did you enjoy most?</w:t>
            </w:r>
          </w:p>
          <w:p w:rsidR="00D45415" w:rsidRDefault="00D45415" w:rsidP="00D45415">
            <w:pPr>
              <w:rPr>
                <w:color w:val="0000FF"/>
                <w:sz w:val="20"/>
                <w:szCs w:val="20"/>
                <w:lang w:val="en-US" w:eastAsia="zh-CN"/>
              </w:rPr>
            </w:pPr>
            <w:r>
              <w:rPr>
                <w:noProof/>
                <w:lang w:val="en-GB" w:eastAsia="en-GB"/>
              </w:rPr>
              <w:drawing>
                <wp:anchor distT="0" distB="0" distL="114300" distR="114300" simplePos="0" relativeHeight="251665408" behindDoc="0" locked="0" layoutInCell="1" allowOverlap="1">
                  <wp:simplePos x="0" y="0"/>
                  <wp:positionH relativeFrom="column">
                    <wp:posOffset>0</wp:posOffset>
                  </wp:positionH>
                  <wp:positionV relativeFrom="paragraph">
                    <wp:posOffset>210820</wp:posOffset>
                  </wp:positionV>
                  <wp:extent cx="2628900" cy="1618615"/>
                  <wp:effectExtent l="0" t="0" r="0" b="0"/>
                  <wp:wrapThrough wrapText="bothSides">
                    <wp:wrapPolygon edited="0">
                      <wp:start x="14243" y="3305"/>
                      <wp:lineTo x="6417" y="3305"/>
                      <wp:lineTo x="2661" y="4576"/>
                      <wp:lineTo x="2191" y="11948"/>
                      <wp:lineTo x="3130" y="16270"/>
                      <wp:lineTo x="5635" y="18812"/>
                      <wp:lineTo x="6261" y="18812"/>
                      <wp:lineTo x="8139" y="18812"/>
                      <wp:lineTo x="8922" y="18812"/>
                      <wp:lineTo x="11426" y="16270"/>
                      <wp:lineTo x="15652" y="15507"/>
                      <wp:lineTo x="18939" y="13728"/>
                      <wp:lineTo x="18783" y="3305"/>
                      <wp:lineTo x="14243" y="3305"/>
                    </wp:wrapPolygon>
                  </wp:wrapThrough>
                  <wp:docPr id="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C4FB0" w:rsidRDefault="000C4FB0" w:rsidP="000C4FB0">
            <w:pPr>
              <w:ind w:left="3720"/>
              <w:jc w:val="both"/>
              <w:rPr>
                <w:color w:val="0000FF"/>
                <w:sz w:val="20"/>
                <w:szCs w:val="20"/>
                <w:lang w:val="en-US" w:eastAsia="zh-CN"/>
              </w:rPr>
            </w:pPr>
          </w:p>
          <w:p w:rsidR="00D45415" w:rsidRPr="00B656B2" w:rsidRDefault="000C4FB0" w:rsidP="000C4FB0">
            <w:pPr>
              <w:ind w:left="3720"/>
              <w:jc w:val="both"/>
              <w:rPr>
                <w:color w:val="0000FF"/>
                <w:sz w:val="20"/>
                <w:szCs w:val="20"/>
                <w:lang w:val="en-US" w:eastAsia="zh-CN"/>
              </w:rPr>
            </w:pPr>
            <w:r>
              <w:rPr>
                <w:color w:val="0000FF"/>
                <w:sz w:val="20"/>
                <w:szCs w:val="20"/>
                <w:lang w:val="en-US" w:eastAsia="zh-CN"/>
              </w:rPr>
              <w:t xml:space="preserve"> </w:t>
            </w:r>
            <w:r w:rsidR="00D45415">
              <w:rPr>
                <w:color w:val="0000FF"/>
                <w:sz w:val="20"/>
                <w:szCs w:val="20"/>
                <w:lang w:val="en-US" w:eastAsia="zh-CN"/>
              </w:rPr>
              <w:t>1) Reasons for choices</w:t>
            </w:r>
            <w:r w:rsidR="00D45415" w:rsidRPr="00A96AAE">
              <w:rPr>
                <w:color w:val="0000FF"/>
                <w:sz w:val="20"/>
                <w:szCs w:val="20"/>
                <w:lang w:val="en-US" w:eastAsia="zh-CN"/>
              </w:rPr>
              <w:t xml:space="preserve"> include</w:t>
            </w:r>
            <w:r w:rsidR="00D45415">
              <w:rPr>
                <w:color w:val="0000FF"/>
                <w:sz w:val="20"/>
                <w:szCs w:val="20"/>
                <w:lang w:val="en-US" w:eastAsia="zh-CN"/>
              </w:rPr>
              <w:t>d</w:t>
            </w:r>
            <w:r w:rsidR="00D45415" w:rsidRPr="00B656B2">
              <w:rPr>
                <w:color w:val="0000FF"/>
                <w:sz w:val="20"/>
                <w:szCs w:val="20"/>
                <w:lang w:val="en-US" w:eastAsia="zh-CN"/>
              </w:rPr>
              <w:t>: “interesting” “useful” “practical” “experimental”.</w:t>
            </w:r>
          </w:p>
          <w:p w:rsidR="00D45415" w:rsidRPr="00B656B2" w:rsidRDefault="00D45415" w:rsidP="000C4FB0">
            <w:pPr>
              <w:ind w:left="3720"/>
              <w:jc w:val="both"/>
              <w:rPr>
                <w:color w:val="0000FF"/>
                <w:sz w:val="20"/>
                <w:szCs w:val="20"/>
                <w:lang w:val="en-US" w:eastAsia="zh-CN"/>
              </w:rPr>
            </w:pPr>
            <w:r>
              <w:rPr>
                <w:color w:val="0000FF"/>
                <w:sz w:val="20"/>
                <w:szCs w:val="20"/>
                <w:lang w:val="en-US" w:eastAsia="zh-CN"/>
              </w:rPr>
              <w:t xml:space="preserve">2) </w:t>
            </w:r>
            <w:r w:rsidRPr="006C2D96">
              <w:rPr>
                <w:color w:val="0000FF"/>
                <w:sz w:val="20"/>
                <w:szCs w:val="20"/>
                <w:lang w:val="en-US" w:eastAsia="zh-CN"/>
              </w:rPr>
              <w:t xml:space="preserve">For </w:t>
            </w:r>
            <w:r w:rsidR="000C4FB0">
              <w:rPr>
                <w:color w:val="0000FF"/>
                <w:sz w:val="20"/>
                <w:szCs w:val="20"/>
                <w:lang w:val="en-US" w:eastAsia="zh-CN"/>
              </w:rPr>
              <w:t>Module 1</w:t>
            </w:r>
            <w:r w:rsidRPr="00B656B2">
              <w:rPr>
                <w:color w:val="0000FF"/>
                <w:sz w:val="20"/>
                <w:szCs w:val="20"/>
                <w:lang w:val="en-US" w:eastAsia="zh-CN"/>
              </w:rPr>
              <w:t xml:space="preserve"> many students me</w:t>
            </w:r>
            <w:r w:rsidR="000C4FB0">
              <w:rPr>
                <w:color w:val="0000FF"/>
                <w:sz w:val="20"/>
                <w:szCs w:val="20"/>
                <w:lang w:val="en-US" w:eastAsia="zh-CN"/>
              </w:rPr>
              <w:t>ntioned “teacher’s hard work” “</w:t>
            </w:r>
            <w:r w:rsidRPr="00B656B2">
              <w:rPr>
                <w:color w:val="0000FF"/>
                <w:sz w:val="20"/>
                <w:szCs w:val="20"/>
                <w:lang w:val="en-US" w:eastAsia="zh-CN"/>
              </w:rPr>
              <w:t>interesting teaching method”.</w:t>
            </w:r>
          </w:p>
          <w:p w:rsidR="00D45415" w:rsidRDefault="00D45415" w:rsidP="000C4FB0">
            <w:pPr>
              <w:ind w:left="3720"/>
              <w:jc w:val="both"/>
              <w:rPr>
                <w:color w:val="0000FF"/>
                <w:sz w:val="20"/>
                <w:szCs w:val="20"/>
                <w:lang w:val="en-US" w:eastAsia="zh-CN"/>
              </w:rPr>
            </w:pPr>
            <w:r>
              <w:rPr>
                <w:color w:val="0000FF"/>
                <w:sz w:val="20"/>
                <w:szCs w:val="20"/>
                <w:lang w:val="en-US" w:eastAsia="zh-CN"/>
              </w:rPr>
              <w:t>3) Eight votes unrelated to modules, included “comfortable dormitory” “travel to Ireland” “group discussion and team work”.</w:t>
            </w:r>
          </w:p>
          <w:p w:rsidR="00D45415" w:rsidRDefault="00D45415" w:rsidP="000C4FB0">
            <w:pPr>
              <w:ind w:left="3720"/>
              <w:jc w:val="both"/>
              <w:rPr>
                <w:color w:val="0000FF"/>
                <w:sz w:val="20"/>
                <w:szCs w:val="20"/>
                <w:lang w:val="en-US" w:eastAsia="zh-CN"/>
              </w:rPr>
            </w:pPr>
            <w:r>
              <w:rPr>
                <w:color w:val="0000FF"/>
                <w:sz w:val="20"/>
                <w:szCs w:val="20"/>
                <w:lang w:val="en-US" w:eastAsia="zh-CN"/>
              </w:rPr>
              <w:t xml:space="preserve">4) Other chosen modules included: </w:t>
            </w:r>
            <w:proofErr w:type="gramStart"/>
            <w:r w:rsidR="000C4FB0">
              <w:rPr>
                <w:color w:val="0000FF"/>
                <w:sz w:val="20"/>
                <w:szCs w:val="20"/>
                <w:lang w:val="en-US" w:eastAsia="zh-CN"/>
              </w:rPr>
              <w:t>X,</w:t>
            </w:r>
            <w:proofErr w:type="gramEnd"/>
            <w:r w:rsidR="000C4FB0">
              <w:rPr>
                <w:color w:val="0000FF"/>
                <w:sz w:val="20"/>
                <w:szCs w:val="20"/>
                <w:lang w:val="en-US" w:eastAsia="zh-CN"/>
              </w:rPr>
              <w:t xml:space="preserve"> Y and Z.</w:t>
            </w:r>
          </w:p>
          <w:p w:rsidR="00D45415" w:rsidRPr="00D21669" w:rsidRDefault="00D45415" w:rsidP="00D45415">
            <w:pPr>
              <w:ind w:left="1440"/>
              <w:rPr>
                <w:color w:val="0000FF"/>
                <w:sz w:val="20"/>
                <w:szCs w:val="20"/>
                <w:lang w:val="en-US" w:eastAsia="zh-CN"/>
              </w:rPr>
            </w:pPr>
          </w:p>
          <w:p w:rsidR="00D45415" w:rsidRDefault="00D45415" w:rsidP="00D45415">
            <w:pPr>
              <w:rPr>
                <w:b/>
              </w:rPr>
            </w:pPr>
          </w:p>
          <w:p w:rsidR="000C4FB0" w:rsidRDefault="000C4FB0" w:rsidP="00D45415">
            <w:pPr>
              <w:rPr>
                <w:b/>
              </w:rPr>
            </w:pPr>
          </w:p>
          <w:p w:rsidR="000C4FB0" w:rsidRDefault="000C4FB0" w:rsidP="00D45415">
            <w:pPr>
              <w:rPr>
                <w:b/>
              </w:rPr>
            </w:pPr>
          </w:p>
          <w:p w:rsidR="000C4FB0" w:rsidRDefault="000C4FB0" w:rsidP="00D45415">
            <w:pPr>
              <w:rPr>
                <w:b/>
              </w:rPr>
            </w:pPr>
          </w:p>
          <w:p w:rsidR="000C4FB0" w:rsidRDefault="000C4FB0" w:rsidP="00D45415">
            <w:pPr>
              <w:rPr>
                <w:b/>
              </w:rPr>
            </w:pPr>
          </w:p>
          <w:p w:rsidR="000C4FB0" w:rsidRDefault="000C4FB0" w:rsidP="00D45415">
            <w:pPr>
              <w:rPr>
                <w:b/>
              </w:rPr>
            </w:pPr>
          </w:p>
          <w:p w:rsidR="000C4FB0" w:rsidRDefault="000C4FB0" w:rsidP="00D45415">
            <w:pPr>
              <w:rPr>
                <w:b/>
              </w:rPr>
            </w:pPr>
          </w:p>
          <w:p w:rsidR="000C4FB0" w:rsidRDefault="000C4FB0" w:rsidP="00D45415">
            <w:pPr>
              <w:rPr>
                <w:b/>
              </w:rPr>
            </w:pPr>
          </w:p>
          <w:p w:rsidR="00D45415" w:rsidRDefault="00D45415" w:rsidP="000C4FB0">
            <w:pPr>
              <w:jc w:val="center"/>
              <w:rPr>
                <w:b/>
              </w:rPr>
            </w:pPr>
            <w:r w:rsidRPr="00905409">
              <w:rPr>
                <w:b/>
              </w:rPr>
              <w:t>Programme Area</w:t>
            </w:r>
          </w:p>
          <w:p w:rsidR="000C4FB0" w:rsidRPr="00905409" w:rsidRDefault="000C4FB0" w:rsidP="000C4FB0">
            <w:pPr>
              <w:jc w:val="center"/>
              <w:rPr>
                <w:b/>
              </w:rPr>
            </w:pPr>
          </w:p>
          <w:p w:rsidR="00D45415" w:rsidRDefault="00D45415" w:rsidP="00D45415">
            <w:pPr>
              <w:numPr>
                <w:ilvl w:val="0"/>
                <w:numId w:val="9"/>
              </w:numPr>
            </w:pPr>
            <w:r>
              <w:t>Has the content and structure of the degree programme been better than, worse than or equal to what you expected?</w:t>
            </w:r>
          </w:p>
          <w:p w:rsidR="00D45415" w:rsidRDefault="000C4FB0" w:rsidP="00D45415">
            <w:r>
              <w:rPr>
                <w:noProof/>
                <w:lang w:val="en-GB" w:eastAsia="en-GB"/>
              </w:rPr>
              <w:drawing>
                <wp:anchor distT="0" distB="0" distL="114300" distR="114300" simplePos="0" relativeHeight="251666432" behindDoc="0" locked="0" layoutInCell="1" allowOverlap="1">
                  <wp:simplePos x="0" y="0"/>
                  <wp:positionH relativeFrom="column">
                    <wp:posOffset>110490</wp:posOffset>
                  </wp:positionH>
                  <wp:positionV relativeFrom="paragraph">
                    <wp:posOffset>132080</wp:posOffset>
                  </wp:positionV>
                  <wp:extent cx="2743200" cy="1828800"/>
                  <wp:effectExtent l="0" t="0" r="0" b="0"/>
                  <wp:wrapThrough wrapText="bothSides">
                    <wp:wrapPolygon edited="0">
                      <wp:start x="5250" y="1575"/>
                      <wp:lineTo x="4350" y="1800"/>
                      <wp:lineTo x="2100" y="4500"/>
                      <wp:lineTo x="1500" y="8100"/>
                      <wp:lineTo x="1500" y="9000"/>
                      <wp:lineTo x="2100" y="12375"/>
                      <wp:lineTo x="2100" y="13275"/>
                      <wp:lineTo x="4950" y="15975"/>
                      <wp:lineTo x="5850" y="15975"/>
                      <wp:lineTo x="7500" y="15975"/>
                      <wp:lineTo x="8400" y="15975"/>
                      <wp:lineTo x="11100" y="13275"/>
                      <wp:lineTo x="11100" y="12375"/>
                      <wp:lineTo x="14400" y="12375"/>
                      <wp:lineTo x="17250" y="10575"/>
                      <wp:lineTo x="17400" y="6975"/>
                      <wp:lineTo x="16350" y="6300"/>
                      <wp:lineTo x="11100" y="4725"/>
                      <wp:lineTo x="8700" y="2025"/>
                      <wp:lineTo x="7800" y="1575"/>
                      <wp:lineTo x="5250" y="1575"/>
                    </wp:wrapPolygon>
                  </wp:wrapThrough>
                  <wp:docPr id="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D45415" w:rsidRPr="0073476C" w:rsidRDefault="00D45415" w:rsidP="000C4FB0">
            <w:pPr>
              <w:ind w:left="3720"/>
            </w:pPr>
            <w:r>
              <w:rPr>
                <w:color w:val="0000FF"/>
                <w:sz w:val="20"/>
                <w:szCs w:val="20"/>
              </w:rPr>
              <w:t>There were three votes for “worse than”. The reason was mainly that they are too busy in the second semester and in comparison had too few classes in the first semester.</w:t>
            </w:r>
            <w:r>
              <w:tab/>
            </w:r>
          </w:p>
          <w:p w:rsidR="00D45415" w:rsidRDefault="00D45415" w:rsidP="00D45415"/>
          <w:p w:rsidR="00D45415" w:rsidRDefault="00D45415" w:rsidP="00D45415"/>
          <w:p w:rsidR="00D45415" w:rsidRDefault="00D45415" w:rsidP="00D45415"/>
          <w:p w:rsidR="00D45415" w:rsidRDefault="00D45415" w:rsidP="00D45415"/>
          <w:p w:rsidR="00D45415" w:rsidRDefault="00D45415" w:rsidP="00D45415"/>
          <w:p w:rsidR="00D45415" w:rsidRDefault="00D45415" w:rsidP="00D45415"/>
          <w:p w:rsidR="00D45415" w:rsidRDefault="00D45415" w:rsidP="00D45415"/>
          <w:p w:rsidR="00D45415" w:rsidRDefault="00D45415" w:rsidP="00D45415">
            <w:pPr>
              <w:numPr>
                <w:ilvl w:val="0"/>
                <w:numId w:val="9"/>
              </w:numPr>
            </w:pPr>
            <w:r>
              <w:t>Overall, ha</w:t>
            </w:r>
            <w:r w:rsidR="000C4FB0">
              <w:t>s your experience of the X</w:t>
            </w:r>
            <w:r>
              <w:t xml:space="preserve"> programme during the academic year been better than, worse than or equal to your expectations?</w:t>
            </w:r>
          </w:p>
          <w:p w:rsidR="00D45415" w:rsidRDefault="00D45415" w:rsidP="00D45415"/>
          <w:p w:rsidR="00DE05B9" w:rsidRDefault="00D45415" w:rsidP="000C4FB0">
            <w:pPr>
              <w:ind w:left="3720"/>
              <w:rPr>
                <w:color w:val="0000FF"/>
                <w:sz w:val="20"/>
                <w:szCs w:val="20"/>
              </w:rPr>
            </w:pPr>
            <w:r>
              <w:rPr>
                <w:noProof/>
                <w:lang w:val="en-GB" w:eastAsia="en-GB"/>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743200" cy="1828800"/>
                  <wp:effectExtent l="0" t="0" r="0" b="0"/>
                  <wp:wrapThrough wrapText="bothSides">
                    <wp:wrapPolygon edited="0">
                      <wp:start x="6000" y="2700"/>
                      <wp:lineTo x="5250" y="2925"/>
                      <wp:lineTo x="2850" y="5625"/>
                      <wp:lineTo x="2400" y="9675"/>
                      <wp:lineTo x="3150" y="13500"/>
                      <wp:lineTo x="3150" y="14175"/>
                      <wp:lineTo x="5850" y="16650"/>
                      <wp:lineTo x="6450" y="16650"/>
                      <wp:lineTo x="8400" y="16650"/>
                      <wp:lineTo x="16500" y="14400"/>
                      <wp:lineTo x="17100" y="13725"/>
                      <wp:lineTo x="17100" y="13500"/>
                      <wp:lineTo x="18000" y="11700"/>
                      <wp:lineTo x="17850" y="9675"/>
                      <wp:lineTo x="16350" y="8550"/>
                      <wp:lineTo x="11700" y="5850"/>
                      <wp:lineTo x="9300" y="2925"/>
                      <wp:lineTo x="8400" y="2700"/>
                      <wp:lineTo x="6000" y="2700"/>
                    </wp:wrapPolygon>
                  </wp:wrapThrough>
                  <wp:docPr id="10"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color w:val="0000FF"/>
                <w:sz w:val="20"/>
                <w:szCs w:val="20"/>
              </w:rPr>
              <w:t xml:space="preserve">Positive feedback included: 1) English improvement; 2) interesting modules; </w:t>
            </w:r>
          </w:p>
          <w:p w:rsidR="00D45415" w:rsidRDefault="00D45415" w:rsidP="000C4FB0">
            <w:pPr>
              <w:ind w:left="3720"/>
              <w:rPr>
                <w:color w:val="0000FF"/>
                <w:sz w:val="20"/>
                <w:szCs w:val="20"/>
              </w:rPr>
            </w:pPr>
            <w:r>
              <w:rPr>
                <w:color w:val="0000FF"/>
                <w:sz w:val="20"/>
                <w:szCs w:val="20"/>
              </w:rPr>
              <w:t xml:space="preserve">3) </w:t>
            </w:r>
            <w:proofErr w:type="gramStart"/>
            <w:r>
              <w:rPr>
                <w:color w:val="0000FF"/>
                <w:sz w:val="20"/>
                <w:szCs w:val="20"/>
              </w:rPr>
              <w:t>comfortable</w:t>
            </w:r>
            <w:proofErr w:type="gramEnd"/>
            <w:r>
              <w:rPr>
                <w:color w:val="0000FF"/>
                <w:sz w:val="20"/>
                <w:szCs w:val="20"/>
              </w:rPr>
              <w:t xml:space="preserve"> living and study environment; 4) trip to Ireland.</w:t>
            </w:r>
          </w:p>
          <w:p w:rsidR="00D45415" w:rsidRDefault="00D45415" w:rsidP="000C4FB0">
            <w:pPr>
              <w:ind w:left="3720"/>
              <w:rPr>
                <w:color w:val="0000FF"/>
                <w:sz w:val="20"/>
                <w:szCs w:val="20"/>
              </w:rPr>
            </w:pPr>
          </w:p>
          <w:p w:rsidR="00D45415" w:rsidRPr="003055C0" w:rsidRDefault="00D45415" w:rsidP="000C4FB0">
            <w:pPr>
              <w:ind w:left="3720"/>
            </w:pPr>
            <w:r>
              <w:rPr>
                <w:color w:val="0000FF"/>
                <w:sz w:val="20"/>
                <w:szCs w:val="20"/>
              </w:rPr>
              <w:t>The reasons for “worse than expectations” votes included: 1) grading method and transcript differences between the two universities are not clear; 2) too busy in second semester</w:t>
            </w:r>
          </w:p>
          <w:p w:rsidR="00D45415" w:rsidRDefault="00D45415" w:rsidP="00D45415"/>
          <w:p w:rsidR="00D45415" w:rsidRDefault="00D45415" w:rsidP="00D45415"/>
          <w:p w:rsidR="00D45415" w:rsidRDefault="00D45415" w:rsidP="00D45415">
            <w:pPr>
              <w:ind w:left="360"/>
            </w:pPr>
          </w:p>
          <w:p w:rsidR="00D45415" w:rsidRDefault="00D45415" w:rsidP="00D45415">
            <w:pPr>
              <w:ind w:left="360"/>
            </w:pPr>
          </w:p>
          <w:p w:rsidR="00D45415" w:rsidRDefault="00DE05B9" w:rsidP="00D45415">
            <w:pPr>
              <w:jc w:val="center"/>
              <w:rPr>
                <w:b/>
              </w:rPr>
            </w:pPr>
            <w:r>
              <w:rPr>
                <w:b/>
              </w:rPr>
              <w:t>O</w:t>
            </w:r>
            <w:r w:rsidR="00D45415">
              <w:rPr>
                <w:b/>
              </w:rPr>
              <w:t xml:space="preserve">ptional question – Suggestions for Possible </w:t>
            </w:r>
            <w:r w:rsidR="00D45415" w:rsidRPr="00905409">
              <w:rPr>
                <w:b/>
              </w:rPr>
              <w:t>Improvements:</w:t>
            </w:r>
          </w:p>
          <w:p w:rsidR="00DE05B9" w:rsidRPr="00905409" w:rsidRDefault="00DE05B9" w:rsidP="00D45415">
            <w:pPr>
              <w:jc w:val="center"/>
              <w:rPr>
                <w:b/>
              </w:rPr>
            </w:pPr>
          </w:p>
          <w:p w:rsidR="00D45415" w:rsidRPr="006C2D96" w:rsidRDefault="00D45415" w:rsidP="00D45415">
            <w:pPr>
              <w:numPr>
                <w:ilvl w:val="0"/>
                <w:numId w:val="9"/>
              </w:numPr>
            </w:pPr>
            <w:r>
              <w:t>I</w:t>
            </w:r>
            <w:r w:rsidRPr="006C2D96">
              <w:t xml:space="preserve">f you think that there are areas of the programme that could be changed or developed to improve the student experience within </w:t>
            </w:r>
            <w:r w:rsidR="00DE05B9">
              <w:t>X</w:t>
            </w:r>
            <w:r w:rsidRPr="006C2D96">
              <w:t>, please give some suggestions here:</w:t>
            </w:r>
          </w:p>
          <w:p w:rsidR="00D45415" w:rsidRDefault="00D45415" w:rsidP="00D45415"/>
          <w:p w:rsidR="00D45415" w:rsidRDefault="00D45415" w:rsidP="00D45415"/>
          <w:p w:rsidR="00D45415" w:rsidRPr="006C2D96" w:rsidRDefault="00D45415" w:rsidP="00D45415">
            <w:r>
              <w:t xml:space="preserve">      </w:t>
            </w:r>
            <w:r w:rsidRPr="006C2D96">
              <w:t>Suggestions include</w:t>
            </w:r>
            <w:r>
              <w:t>d</w:t>
            </w:r>
            <w:r w:rsidRPr="006C2D96">
              <w:t>:</w:t>
            </w:r>
          </w:p>
          <w:p w:rsidR="00D45415" w:rsidRPr="006C2D96" w:rsidRDefault="00D45415" w:rsidP="00D45415">
            <w:pPr>
              <w:numPr>
                <w:ilvl w:val="0"/>
                <w:numId w:val="10"/>
              </w:numPr>
            </w:pPr>
            <w:r w:rsidRPr="006C2D96">
              <w:t>More experiments and practice besides lectures;</w:t>
            </w:r>
          </w:p>
          <w:p w:rsidR="00D45415" w:rsidRPr="006C2D96" w:rsidRDefault="00D45415" w:rsidP="00D45415">
            <w:pPr>
              <w:numPr>
                <w:ilvl w:val="0"/>
                <w:numId w:val="10"/>
              </w:numPr>
            </w:pPr>
            <w:r w:rsidRPr="006C2D96">
              <w:t>More study material for reference;</w:t>
            </w:r>
          </w:p>
          <w:p w:rsidR="00D45415" w:rsidRPr="006C2D96" w:rsidRDefault="00D45415" w:rsidP="00D45415">
            <w:pPr>
              <w:numPr>
                <w:ilvl w:val="0"/>
                <w:numId w:val="10"/>
              </w:numPr>
            </w:pPr>
            <w:r w:rsidRPr="006C2D96">
              <w:t>More time for self-study and English improvement;</w:t>
            </w:r>
          </w:p>
          <w:p w:rsidR="00D45415" w:rsidRPr="006C2D96" w:rsidRDefault="00D45415" w:rsidP="00D45415">
            <w:pPr>
              <w:numPr>
                <w:ilvl w:val="0"/>
                <w:numId w:val="10"/>
              </w:numPr>
            </w:pPr>
            <w:r w:rsidRPr="006C2D96">
              <w:t>More discussion and interaction with professors;</w:t>
            </w:r>
          </w:p>
          <w:p w:rsidR="00D45415" w:rsidRPr="006C2D96" w:rsidRDefault="00D45415" w:rsidP="00D45415">
            <w:pPr>
              <w:numPr>
                <w:ilvl w:val="0"/>
                <w:numId w:val="10"/>
              </w:numPr>
            </w:pPr>
            <w:r w:rsidRPr="006C2D96">
              <w:t>Providing more time and classes for IELTS preparation;</w:t>
            </w:r>
          </w:p>
          <w:p w:rsidR="00D45415" w:rsidRPr="006C2D96" w:rsidRDefault="00D45415" w:rsidP="00D45415">
            <w:pPr>
              <w:numPr>
                <w:ilvl w:val="0"/>
                <w:numId w:val="10"/>
              </w:numPr>
            </w:pPr>
            <w:r w:rsidRPr="006C2D96">
              <w:t>Even distribution of modules/study loads among semesters;</w:t>
            </w:r>
          </w:p>
          <w:p w:rsidR="00D45415" w:rsidRPr="006C2D96" w:rsidRDefault="00D45415" w:rsidP="00D45415">
            <w:pPr>
              <w:numPr>
                <w:ilvl w:val="0"/>
                <w:numId w:val="10"/>
              </w:numPr>
            </w:pPr>
            <w:r>
              <w:t xml:space="preserve">The need for </w:t>
            </w:r>
            <w:r w:rsidRPr="006C2D96">
              <w:t xml:space="preserve">Professors </w:t>
            </w:r>
            <w:r>
              <w:t>to speak more slowly and clearly</w:t>
            </w:r>
            <w:r w:rsidRPr="006C2D96">
              <w:t>;</w:t>
            </w:r>
          </w:p>
          <w:p w:rsidR="00D45415" w:rsidRPr="006C2D96" w:rsidRDefault="00D45415" w:rsidP="00D45415">
            <w:pPr>
              <w:numPr>
                <w:ilvl w:val="0"/>
                <w:numId w:val="10"/>
              </w:numPr>
            </w:pPr>
            <w:r w:rsidRPr="006C2D96">
              <w:t>Providing clear information of grading and transcript.</w:t>
            </w:r>
          </w:p>
          <w:p w:rsidR="00D45415" w:rsidRPr="00DC2FAE" w:rsidRDefault="00D45415" w:rsidP="00D45415">
            <w:pPr>
              <w:jc w:val="both"/>
              <w:rPr>
                <w:rFonts w:cs="Arial"/>
                <w:color w:val="FF0000"/>
                <w:lang w:val="en-US"/>
              </w:rPr>
            </w:pPr>
          </w:p>
          <w:p w:rsidR="00D45415" w:rsidRPr="000809A0" w:rsidRDefault="00DE05B9" w:rsidP="00D45415">
            <w:pPr>
              <w:jc w:val="both"/>
              <w:rPr>
                <w:rFonts w:cs="Arial"/>
                <w:lang w:val="en-US"/>
              </w:rPr>
            </w:pPr>
            <w:r>
              <w:rPr>
                <w:rFonts w:cs="Arial"/>
                <w:lang w:val="en-US"/>
              </w:rPr>
              <w:t xml:space="preserve">(NOTE: Actions on these </w:t>
            </w:r>
            <w:r w:rsidR="00D45415" w:rsidRPr="000809A0">
              <w:rPr>
                <w:rFonts w:cs="Arial"/>
                <w:lang w:val="en-US"/>
              </w:rPr>
              <w:t xml:space="preserve">points are contained in </w:t>
            </w:r>
            <w:r>
              <w:rPr>
                <w:rFonts w:cs="Arial"/>
                <w:lang w:val="en-US"/>
              </w:rPr>
              <w:t xml:space="preserve">APR </w:t>
            </w:r>
            <w:r w:rsidR="00D45415" w:rsidRPr="000809A0">
              <w:rPr>
                <w:rFonts w:cs="Arial"/>
                <w:lang w:val="en-US"/>
              </w:rPr>
              <w:t xml:space="preserve">Section </w:t>
            </w:r>
            <w:r>
              <w:rPr>
                <w:rFonts w:cs="Arial"/>
                <w:lang w:val="en-US"/>
              </w:rPr>
              <w:t>X</w:t>
            </w:r>
            <w:r w:rsidR="00D45415">
              <w:rPr>
                <w:rFonts w:cs="Arial"/>
                <w:lang w:val="en-US"/>
              </w:rPr>
              <w:t>)</w:t>
            </w:r>
          </w:p>
          <w:p w:rsidR="00D45415" w:rsidRPr="00B47B01" w:rsidRDefault="00D45415" w:rsidP="00D45415">
            <w:pPr>
              <w:jc w:val="both"/>
              <w:rPr>
                <w:rFonts w:cs="Arial"/>
                <w:lang w:val="en-US"/>
              </w:rPr>
            </w:pPr>
          </w:p>
        </w:tc>
      </w:tr>
    </w:tbl>
    <w:p w:rsidR="00D45415" w:rsidRDefault="00D45415" w:rsidP="00D45415">
      <w:pPr>
        <w:spacing w:after="0"/>
        <w:ind w:right="-613" w:hanging="567"/>
        <w:jc w:val="right"/>
        <w:rPr>
          <w:b/>
          <w:lang w:val="en-US"/>
        </w:rPr>
      </w:pPr>
    </w:p>
    <w:p w:rsidR="004A30ED" w:rsidRDefault="004A30ED">
      <w:pPr>
        <w:rPr>
          <w:b/>
          <w:lang w:val="en-US"/>
        </w:rPr>
      </w:pPr>
      <w:r>
        <w:rPr>
          <w:b/>
          <w:lang w:val="en-US"/>
        </w:rPr>
        <w:br w:type="page"/>
      </w:r>
    </w:p>
    <w:p w:rsidR="004A30ED" w:rsidRDefault="004A30ED" w:rsidP="00D45415">
      <w:pPr>
        <w:spacing w:after="0"/>
        <w:ind w:right="-613" w:hanging="567"/>
        <w:jc w:val="right"/>
        <w:rPr>
          <w:b/>
          <w:lang w:val="en-US"/>
        </w:rPr>
      </w:pPr>
      <w:r>
        <w:rPr>
          <w:b/>
          <w:lang w:val="en-US"/>
        </w:rPr>
        <w:lastRenderedPageBreak/>
        <w:t>Appendix 3</w:t>
      </w:r>
    </w:p>
    <w:p w:rsidR="004A30ED" w:rsidRDefault="004A30ED" w:rsidP="00D45415">
      <w:pPr>
        <w:spacing w:after="0"/>
        <w:ind w:right="-613" w:hanging="567"/>
        <w:jc w:val="right"/>
        <w:rPr>
          <w:b/>
          <w:lang w:val="en-US"/>
        </w:rPr>
      </w:pPr>
    </w:p>
    <w:p w:rsidR="004A30ED" w:rsidRDefault="004A30ED" w:rsidP="004A30ED">
      <w:pPr>
        <w:spacing w:after="0"/>
        <w:ind w:right="-590"/>
        <w:rPr>
          <w:lang w:val="en-US"/>
        </w:rPr>
      </w:pPr>
    </w:p>
    <w:p w:rsidR="004A30ED" w:rsidRPr="004A30ED" w:rsidRDefault="004A30ED" w:rsidP="004A30ED">
      <w:pPr>
        <w:spacing w:after="0"/>
        <w:ind w:right="-590"/>
        <w:jc w:val="center"/>
        <w:rPr>
          <w:b/>
          <w:lang w:val="en-US"/>
        </w:rPr>
      </w:pPr>
      <w:r w:rsidRPr="004A30ED">
        <w:rPr>
          <w:b/>
          <w:lang w:val="en-US"/>
        </w:rPr>
        <w:t>Student Degree Completion Rates</w:t>
      </w:r>
    </w:p>
    <w:p w:rsidR="004A30ED" w:rsidRDefault="004A30ED" w:rsidP="004A30ED">
      <w:pPr>
        <w:spacing w:after="0"/>
        <w:ind w:right="-590"/>
        <w:rPr>
          <w:lang w:val="en-US"/>
        </w:rPr>
      </w:pPr>
    </w:p>
    <w:p w:rsidR="004A30ED" w:rsidRPr="004A30ED" w:rsidRDefault="004A30ED" w:rsidP="004A30ED">
      <w:pPr>
        <w:spacing w:after="0"/>
        <w:ind w:right="-590"/>
        <w:rPr>
          <w:lang w:val="en-US"/>
        </w:rPr>
      </w:pPr>
      <w:r w:rsidRPr="004A30ED">
        <w:rPr>
          <w:lang w:val="en-US"/>
        </w:rPr>
        <w:t xml:space="preserve">Of the </w:t>
      </w:r>
      <w:r w:rsidR="005948C3">
        <w:rPr>
          <w:lang w:val="en-US"/>
        </w:rPr>
        <w:t>6</w:t>
      </w:r>
      <w:r w:rsidRPr="004A30ED">
        <w:rPr>
          <w:lang w:val="en-US"/>
        </w:rPr>
        <w:t xml:space="preserve"> partnerships</w:t>
      </w:r>
      <w:r w:rsidR="00C322B1">
        <w:rPr>
          <w:lang w:val="en-US"/>
        </w:rPr>
        <w:t xml:space="preserve"> represented</w:t>
      </w:r>
      <w:r w:rsidRPr="004A30ED">
        <w:rPr>
          <w:lang w:val="en-US"/>
        </w:rPr>
        <w:t xml:space="preserve"> in this report, </w:t>
      </w:r>
      <w:r w:rsidR="005948C3">
        <w:rPr>
          <w:lang w:val="en-US"/>
        </w:rPr>
        <w:t>4</w:t>
      </w:r>
      <w:r w:rsidRPr="004A30ED">
        <w:rPr>
          <w:lang w:val="en-US"/>
        </w:rPr>
        <w:t xml:space="preserve"> partnerships have had programmes operating long enough for students to complete:</w:t>
      </w:r>
    </w:p>
    <w:p w:rsidR="004A30ED" w:rsidRDefault="004A30ED" w:rsidP="004A30ED">
      <w:pPr>
        <w:spacing w:after="0"/>
        <w:ind w:right="-590"/>
        <w:rPr>
          <w:lang w:val="en-US"/>
        </w:rPr>
      </w:pPr>
    </w:p>
    <w:tbl>
      <w:tblPr>
        <w:tblStyle w:val="TableGrid"/>
        <w:tblW w:w="10173" w:type="dxa"/>
        <w:tblLook w:val="04A0" w:firstRow="1" w:lastRow="0" w:firstColumn="1" w:lastColumn="0" w:noHBand="0" w:noVBand="1"/>
      </w:tblPr>
      <w:tblGrid>
        <w:gridCol w:w="4077"/>
        <w:gridCol w:w="2977"/>
        <w:gridCol w:w="3119"/>
      </w:tblGrid>
      <w:tr w:rsidR="004A30ED" w:rsidTr="00DC0DC2">
        <w:tc>
          <w:tcPr>
            <w:tcW w:w="10173" w:type="dxa"/>
            <w:gridSpan w:val="3"/>
          </w:tcPr>
          <w:p w:rsidR="004A30ED" w:rsidRDefault="004A30ED" w:rsidP="004A30ED">
            <w:pPr>
              <w:ind w:right="-590"/>
              <w:jc w:val="center"/>
              <w:rPr>
                <w:b/>
                <w:lang w:val="en-US"/>
              </w:rPr>
            </w:pPr>
          </w:p>
          <w:p w:rsidR="004A30ED" w:rsidRDefault="004A30ED" w:rsidP="004A30ED">
            <w:pPr>
              <w:ind w:right="-590"/>
              <w:jc w:val="center"/>
              <w:rPr>
                <w:b/>
                <w:lang w:val="en-US"/>
              </w:rPr>
            </w:pPr>
            <w:r w:rsidRPr="004A30ED">
              <w:rPr>
                <w:b/>
                <w:lang w:val="en-US"/>
              </w:rPr>
              <w:t>2012-13 Results</w:t>
            </w:r>
          </w:p>
          <w:p w:rsidR="004A30ED" w:rsidRPr="004A30ED" w:rsidRDefault="004A30ED" w:rsidP="004A30ED">
            <w:pPr>
              <w:ind w:right="-590"/>
              <w:jc w:val="center"/>
              <w:rPr>
                <w:b/>
                <w:lang w:val="en-US"/>
              </w:rPr>
            </w:pPr>
          </w:p>
        </w:tc>
      </w:tr>
      <w:tr w:rsidR="004A30ED" w:rsidRPr="004A30ED" w:rsidTr="00DC0DC2">
        <w:tc>
          <w:tcPr>
            <w:tcW w:w="4077" w:type="dxa"/>
          </w:tcPr>
          <w:p w:rsidR="004A30ED" w:rsidRPr="004A30ED" w:rsidRDefault="004A30ED" w:rsidP="00DC0DC2">
            <w:pPr>
              <w:ind w:right="175"/>
              <w:jc w:val="center"/>
              <w:rPr>
                <w:b/>
                <w:lang w:val="en-US"/>
              </w:rPr>
            </w:pPr>
            <w:r w:rsidRPr="004A30ED">
              <w:rPr>
                <w:b/>
                <w:lang w:val="en-US"/>
              </w:rPr>
              <w:t>Partnership</w:t>
            </w:r>
          </w:p>
        </w:tc>
        <w:tc>
          <w:tcPr>
            <w:tcW w:w="2977" w:type="dxa"/>
          </w:tcPr>
          <w:p w:rsidR="004A30ED" w:rsidRPr="004A30ED" w:rsidRDefault="004A30ED" w:rsidP="00DC0DC2">
            <w:pPr>
              <w:jc w:val="center"/>
              <w:rPr>
                <w:b/>
                <w:lang w:val="en-US"/>
              </w:rPr>
            </w:pPr>
            <w:r w:rsidRPr="004A30ED">
              <w:rPr>
                <w:b/>
                <w:lang w:val="en-US"/>
              </w:rPr>
              <w:t>Programme</w:t>
            </w:r>
          </w:p>
        </w:tc>
        <w:tc>
          <w:tcPr>
            <w:tcW w:w="3119" w:type="dxa"/>
          </w:tcPr>
          <w:p w:rsidR="004A30ED" w:rsidRDefault="004A30ED" w:rsidP="00DC0DC2">
            <w:pPr>
              <w:ind w:right="34"/>
              <w:jc w:val="center"/>
              <w:rPr>
                <w:b/>
                <w:lang w:val="en-US"/>
              </w:rPr>
            </w:pPr>
            <w:r w:rsidRPr="004A30ED">
              <w:rPr>
                <w:b/>
                <w:lang w:val="en-US"/>
              </w:rPr>
              <w:t>Degree Completion Rates (%)</w:t>
            </w:r>
          </w:p>
          <w:p w:rsidR="00DC0DC2" w:rsidRPr="004A30ED" w:rsidRDefault="00DC0DC2" w:rsidP="00DC0DC2">
            <w:pPr>
              <w:ind w:right="34"/>
              <w:jc w:val="center"/>
              <w:rPr>
                <w:b/>
                <w:lang w:val="en-US"/>
              </w:rPr>
            </w:pPr>
          </w:p>
        </w:tc>
      </w:tr>
      <w:tr w:rsidR="004A30ED" w:rsidTr="00DC0DC2">
        <w:tc>
          <w:tcPr>
            <w:tcW w:w="4077" w:type="dxa"/>
          </w:tcPr>
          <w:p w:rsidR="004A30ED" w:rsidRDefault="004A30ED" w:rsidP="004A30ED">
            <w:pPr>
              <w:ind w:right="-590"/>
              <w:rPr>
                <w:lang w:val="en-US"/>
              </w:rPr>
            </w:pPr>
          </w:p>
        </w:tc>
        <w:tc>
          <w:tcPr>
            <w:tcW w:w="2977" w:type="dxa"/>
          </w:tcPr>
          <w:p w:rsidR="004A30ED" w:rsidRDefault="004A30ED" w:rsidP="004A30ED">
            <w:pPr>
              <w:ind w:right="-590"/>
              <w:rPr>
                <w:lang w:val="en-US"/>
              </w:rPr>
            </w:pPr>
          </w:p>
        </w:tc>
        <w:tc>
          <w:tcPr>
            <w:tcW w:w="3119" w:type="dxa"/>
          </w:tcPr>
          <w:p w:rsidR="004A30ED" w:rsidRDefault="004A30ED" w:rsidP="004A30ED">
            <w:pPr>
              <w:ind w:right="-590"/>
              <w:rPr>
                <w:lang w:val="en-US"/>
              </w:rPr>
            </w:pPr>
          </w:p>
        </w:tc>
      </w:tr>
      <w:tr w:rsidR="004A30ED" w:rsidTr="00DC0DC2">
        <w:tc>
          <w:tcPr>
            <w:tcW w:w="4077" w:type="dxa"/>
          </w:tcPr>
          <w:p w:rsidR="004A30ED" w:rsidRDefault="004A30ED" w:rsidP="004A30ED">
            <w:pPr>
              <w:pStyle w:val="ListParagraph"/>
              <w:ind w:left="284" w:right="-590"/>
              <w:rPr>
                <w:lang w:val="en-US"/>
              </w:rPr>
            </w:pPr>
          </w:p>
          <w:p w:rsidR="004A30ED" w:rsidRDefault="004A30ED" w:rsidP="004A30ED">
            <w:pPr>
              <w:pStyle w:val="ListParagraph"/>
              <w:ind w:left="284" w:right="-590"/>
              <w:rPr>
                <w:lang w:val="en-US"/>
              </w:rPr>
            </w:pPr>
          </w:p>
          <w:p w:rsidR="004A30ED" w:rsidRDefault="004A30ED" w:rsidP="004A30ED">
            <w:pPr>
              <w:pStyle w:val="ListParagraph"/>
              <w:numPr>
                <w:ilvl w:val="0"/>
                <w:numId w:val="11"/>
              </w:numPr>
              <w:ind w:left="284" w:right="-590" w:hanging="284"/>
              <w:rPr>
                <w:lang w:val="en-US"/>
              </w:rPr>
            </w:pPr>
            <w:r>
              <w:rPr>
                <w:lang w:val="en-US"/>
              </w:rPr>
              <w:t>Kaplan, Singapore</w:t>
            </w:r>
          </w:p>
          <w:p w:rsidR="004A30ED" w:rsidRPr="004A30ED" w:rsidRDefault="004A30ED" w:rsidP="004A30ED">
            <w:pPr>
              <w:pStyle w:val="ListParagraph"/>
              <w:ind w:left="284" w:right="-590"/>
              <w:rPr>
                <w:lang w:val="en-US"/>
              </w:rPr>
            </w:pPr>
          </w:p>
        </w:tc>
        <w:tc>
          <w:tcPr>
            <w:tcW w:w="2977" w:type="dxa"/>
          </w:tcPr>
          <w:p w:rsidR="004A30ED" w:rsidRDefault="004A30ED" w:rsidP="004A30ED">
            <w:pPr>
              <w:ind w:right="-590"/>
              <w:rPr>
                <w:lang w:val="en-US"/>
              </w:rPr>
            </w:pPr>
          </w:p>
          <w:p w:rsidR="004A30ED" w:rsidRPr="004A30ED" w:rsidRDefault="004A30ED" w:rsidP="004A30ED">
            <w:pPr>
              <w:pStyle w:val="ListParagraph"/>
              <w:numPr>
                <w:ilvl w:val="0"/>
                <w:numId w:val="12"/>
              </w:numPr>
              <w:ind w:left="361" w:right="-590" w:hanging="283"/>
              <w:rPr>
                <w:lang w:val="en-US"/>
              </w:rPr>
            </w:pPr>
            <w:r w:rsidRPr="004A30ED">
              <w:rPr>
                <w:lang w:val="en-US"/>
              </w:rPr>
              <w:t>Undergraduate</w:t>
            </w:r>
          </w:p>
          <w:p w:rsidR="004A30ED" w:rsidRDefault="004A30ED" w:rsidP="004A30ED">
            <w:pPr>
              <w:ind w:right="-590"/>
              <w:rPr>
                <w:lang w:val="en-US"/>
              </w:rPr>
            </w:pPr>
          </w:p>
          <w:p w:rsidR="004A30ED" w:rsidRPr="004A30ED" w:rsidRDefault="004A30ED" w:rsidP="004A30ED">
            <w:pPr>
              <w:pStyle w:val="ListParagraph"/>
              <w:numPr>
                <w:ilvl w:val="0"/>
                <w:numId w:val="12"/>
              </w:numPr>
              <w:ind w:left="361" w:right="-590" w:hanging="283"/>
              <w:rPr>
                <w:lang w:val="en-US"/>
              </w:rPr>
            </w:pPr>
            <w:r w:rsidRPr="004A30ED">
              <w:rPr>
                <w:lang w:val="en-US"/>
              </w:rPr>
              <w:t>Masters</w:t>
            </w:r>
          </w:p>
          <w:p w:rsidR="004A30ED" w:rsidRDefault="004A30ED" w:rsidP="004A30ED">
            <w:pPr>
              <w:ind w:right="-590"/>
              <w:rPr>
                <w:lang w:val="en-US"/>
              </w:rPr>
            </w:pPr>
          </w:p>
        </w:tc>
        <w:tc>
          <w:tcPr>
            <w:tcW w:w="3119" w:type="dxa"/>
          </w:tcPr>
          <w:p w:rsidR="004A30ED" w:rsidRDefault="004A30ED" w:rsidP="004A30ED">
            <w:pPr>
              <w:ind w:right="-590"/>
              <w:rPr>
                <w:lang w:val="en-US"/>
              </w:rPr>
            </w:pPr>
          </w:p>
          <w:p w:rsidR="004A30ED" w:rsidRDefault="004A30ED" w:rsidP="004A30ED">
            <w:pPr>
              <w:ind w:right="-590"/>
              <w:rPr>
                <w:lang w:val="en-US"/>
              </w:rPr>
            </w:pPr>
            <w:r>
              <w:rPr>
                <w:lang w:val="en-US"/>
              </w:rPr>
              <w:t>99%</w:t>
            </w:r>
          </w:p>
          <w:p w:rsidR="004A30ED" w:rsidRDefault="004A30ED" w:rsidP="004A30ED">
            <w:pPr>
              <w:ind w:right="-590"/>
              <w:rPr>
                <w:lang w:val="en-US"/>
              </w:rPr>
            </w:pPr>
          </w:p>
          <w:p w:rsidR="004A30ED" w:rsidRDefault="004A30ED" w:rsidP="00DC0DC2">
            <w:pPr>
              <w:rPr>
                <w:lang w:val="en-US"/>
              </w:rPr>
            </w:pPr>
            <w:r>
              <w:rPr>
                <w:lang w:val="en-US"/>
              </w:rPr>
              <w:t>99%</w:t>
            </w:r>
          </w:p>
        </w:tc>
      </w:tr>
      <w:tr w:rsidR="004A30ED" w:rsidTr="00DC0DC2">
        <w:tc>
          <w:tcPr>
            <w:tcW w:w="4077" w:type="dxa"/>
          </w:tcPr>
          <w:p w:rsidR="004A30ED" w:rsidRDefault="004A30ED" w:rsidP="00A149ED">
            <w:pPr>
              <w:ind w:right="-590"/>
              <w:rPr>
                <w:lang w:val="en-US"/>
              </w:rPr>
            </w:pPr>
          </w:p>
          <w:p w:rsidR="004A30ED" w:rsidRDefault="004A30ED" w:rsidP="00A149ED">
            <w:pPr>
              <w:ind w:right="-590"/>
              <w:rPr>
                <w:lang w:val="en-US"/>
              </w:rPr>
            </w:pPr>
          </w:p>
          <w:p w:rsidR="004A30ED" w:rsidRDefault="004A30ED" w:rsidP="004A30ED">
            <w:pPr>
              <w:pStyle w:val="ListParagraph"/>
              <w:numPr>
                <w:ilvl w:val="0"/>
                <w:numId w:val="11"/>
              </w:numPr>
              <w:ind w:left="284" w:right="-590" w:hanging="284"/>
              <w:rPr>
                <w:lang w:val="en-US"/>
              </w:rPr>
            </w:pPr>
            <w:r>
              <w:rPr>
                <w:lang w:val="en-US"/>
              </w:rPr>
              <w:t>Kaplan, Hong Kong</w:t>
            </w:r>
          </w:p>
          <w:p w:rsidR="004A30ED" w:rsidRPr="004A30ED" w:rsidRDefault="004A30ED" w:rsidP="004A30ED">
            <w:pPr>
              <w:ind w:right="-590"/>
              <w:rPr>
                <w:lang w:val="en-US"/>
              </w:rPr>
            </w:pPr>
          </w:p>
        </w:tc>
        <w:tc>
          <w:tcPr>
            <w:tcW w:w="2977" w:type="dxa"/>
          </w:tcPr>
          <w:p w:rsidR="004A30ED" w:rsidRDefault="004A30ED" w:rsidP="004A30ED">
            <w:pPr>
              <w:ind w:right="-590"/>
              <w:rPr>
                <w:lang w:val="en-US"/>
              </w:rPr>
            </w:pPr>
          </w:p>
          <w:p w:rsidR="004A30ED" w:rsidRPr="004A30ED" w:rsidRDefault="004A30ED" w:rsidP="004A30ED">
            <w:pPr>
              <w:pStyle w:val="ListParagraph"/>
              <w:numPr>
                <w:ilvl w:val="0"/>
                <w:numId w:val="12"/>
              </w:numPr>
              <w:ind w:left="361" w:right="-590" w:hanging="283"/>
              <w:rPr>
                <w:lang w:val="en-US"/>
              </w:rPr>
            </w:pPr>
            <w:r w:rsidRPr="004A30ED">
              <w:rPr>
                <w:lang w:val="en-US"/>
              </w:rPr>
              <w:t>Undergraduate</w:t>
            </w:r>
          </w:p>
          <w:p w:rsidR="004A30ED" w:rsidRDefault="004A30ED" w:rsidP="004A30ED">
            <w:pPr>
              <w:ind w:right="-590"/>
              <w:rPr>
                <w:lang w:val="en-US"/>
              </w:rPr>
            </w:pPr>
          </w:p>
          <w:p w:rsidR="004A30ED" w:rsidRPr="004A30ED" w:rsidRDefault="004A30ED" w:rsidP="004A30ED">
            <w:pPr>
              <w:pStyle w:val="ListParagraph"/>
              <w:numPr>
                <w:ilvl w:val="0"/>
                <w:numId w:val="12"/>
              </w:numPr>
              <w:ind w:left="361" w:right="-590" w:hanging="283"/>
              <w:rPr>
                <w:lang w:val="en-US"/>
              </w:rPr>
            </w:pPr>
            <w:r w:rsidRPr="004A30ED">
              <w:rPr>
                <w:lang w:val="en-US"/>
              </w:rPr>
              <w:t>Masters</w:t>
            </w:r>
          </w:p>
          <w:p w:rsidR="004A30ED" w:rsidRDefault="004A30ED" w:rsidP="004A30ED">
            <w:pPr>
              <w:ind w:right="-590"/>
              <w:rPr>
                <w:lang w:val="en-US"/>
              </w:rPr>
            </w:pPr>
          </w:p>
        </w:tc>
        <w:tc>
          <w:tcPr>
            <w:tcW w:w="3119" w:type="dxa"/>
          </w:tcPr>
          <w:p w:rsidR="004A30ED" w:rsidRDefault="004A30ED" w:rsidP="00A149ED">
            <w:pPr>
              <w:ind w:right="-590"/>
              <w:rPr>
                <w:lang w:val="en-US"/>
              </w:rPr>
            </w:pPr>
          </w:p>
          <w:p w:rsidR="004A30ED" w:rsidRDefault="004A30ED" w:rsidP="00A149ED">
            <w:pPr>
              <w:ind w:right="-590"/>
              <w:rPr>
                <w:lang w:val="en-US"/>
              </w:rPr>
            </w:pPr>
            <w:r>
              <w:rPr>
                <w:lang w:val="en-US"/>
              </w:rPr>
              <w:t>98%</w:t>
            </w:r>
          </w:p>
          <w:p w:rsidR="004A30ED" w:rsidRDefault="004A30ED" w:rsidP="00A149ED">
            <w:pPr>
              <w:ind w:right="-590"/>
              <w:rPr>
                <w:lang w:val="en-US"/>
              </w:rPr>
            </w:pPr>
          </w:p>
          <w:p w:rsidR="004A30ED" w:rsidRDefault="004A30ED" w:rsidP="00A149ED">
            <w:pPr>
              <w:ind w:right="-590"/>
              <w:rPr>
                <w:lang w:val="en-US"/>
              </w:rPr>
            </w:pPr>
            <w:r>
              <w:rPr>
                <w:lang w:val="en-US"/>
              </w:rPr>
              <w:t>96%</w:t>
            </w:r>
          </w:p>
        </w:tc>
      </w:tr>
      <w:tr w:rsidR="004A30ED" w:rsidTr="00DC0DC2">
        <w:tc>
          <w:tcPr>
            <w:tcW w:w="4077" w:type="dxa"/>
          </w:tcPr>
          <w:p w:rsidR="004A30ED" w:rsidRDefault="004A30ED" w:rsidP="004A30ED">
            <w:pPr>
              <w:ind w:right="-590"/>
              <w:rPr>
                <w:lang w:val="en-US"/>
              </w:rPr>
            </w:pPr>
          </w:p>
          <w:p w:rsidR="004A30ED" w:rsidRDefault="004A30ED" w:rsidP="004A30ED">
            <w:pPr>
              <w:ind w:right="-590"/>
              <w:rPr>
                <w:lang w:val="en-US"/>
              </w:rPr>
            </w:pPr>
          </w:p>
          <w:p w:rsidR="004A30ED" w:rsidRDefault="004A30ED" w:rsidP="00DC0DC2">
            <w:pPr>
              <w:pStyle w:val="ListParagraph"/>
              <w:numPr>
                <w:ilvl w:val="0"/>
                <w:numId w:val="11"/>
              </w:numPr>
              <w:ind w:left="284" w:right="33" w:hanging="284"/>
              <w:rPr>
                <w:lang w:val="en-US"/>
              </w:rPr>
            </w:pPr>
            <w:r>
              <w:rPr>
                <w:lang w:val="en-US"/>
              </w:rPr>
              <w:t>National Institute of Business Management, Sri Lanka</w:t>
            </w:r>
          </w:p>
          <w:p w:rsidR="004A30ED" w:rsidRPr="004A30ED" w:rsidRDefault="004A30ED" w:rsidP="004A30ED">
            <w:pPr>
              <w:ind w:right="-590"/>
              <w:rPr>
                <w:lang w:val="en-US"/>
              </w:rPr>
            </w:pPr>
          </w:p>
        </w:tc>
        <w:tc>
          <w:tcPr>
            <w:tcW w:w="2977" w:type="dxa"/>
          </w:tcPr>
          <w:p w:rsidR="004A30ED" w:rsidRDefault="004A30ED" w:rsidP="004A30ED">
            <w:pPr>
              <w:ind w:right="-590"/>
              <w:rPr>
                <w:lang w:val="en-US"/>
              </w:rPr>
            </w:pPr>
          </w:p>
          <w:p w:rsidR="004A30ED" w:rsidRPr="004A30ED" w:rsidRDefault="004A30ED" w:rsidP="004A30ED">
            <w:pPr>
              <w:pStyle w:val="ListParagraph"/>
              <w:numPr>
                <w:ilvl w:val="0"/>
                <w:numId w:val="12"/>
              </w:numPr>
              <w:ind w:left="361" w:right="-590" w:hanging="283"/>
              <w:rPr>
                <w:lang w:val="en-US"/>
              </w:rPr>
            </w:pPr>
            <w:r w:rsidRPr="004A30ED">
              <w:rPr>
                <w:lang w:val="en-US"/>
              </w:rPr>
              <w:t>Undergraduate</w:t>
            </w:r>
          </w:p>
          <w:p w:rsidR="004A30ED" w:rsidRDefault="004A30ED" w:rsidP="004A30ED">
            <w:pPr>
              <w:ind w:right="-590"/>
              <w:rPr>
                <w:lang w:val="en-US"/>
              </w:rPr>
            </w:pPr>
          </w:p>
          <w:p w:rsidR="004A30ED" w:rsidRPr="004A30ED" w:rsidRDefault="004A30ED" w:rsidP="004A30ED">
            <w:pPr>
              <w:pStyle w:val="ListParagraph"/>
              <w:numPr>
                <w:ilvl w:val="0"/>
                <w:numId w:val="12"/>
              </w:numPr>
              <w:ind w:left="361" w:right="-590" w:hanging="283"/>
              <w:rPr>
                <w:lang w:val="en-US"/>
              </w:rPr>
            </w:pPr>
            <w:r w:rsidRPr="004A30ED">
              <w:rPr>
                <w:lang w:val="en-US"/>
              </w:rPr>
              <w:t>Masters</w:t>
            </w:r>
          </w:p>
          <w:p w:rsidR="004A30ED" w:rsidRDefault="004A30ED" w:rsidP="004A30ED">
            <w:pPr>
              <w:ind w:right="-590"/>
              <w:rPr>
                <w:lang w:val="en-US"/>
              </w:rPr>
            </w:pPr>
          </w:p>
        </w:tc>
        <w:tc>
          <w:tcPr>
            <w:tcW w:w="3119" w:type="dxa"/>
          </w:tcPr>
          <w:p w:rsidR="004A30ED" w:rsidRDefault="004A30ED" w:rsidP="004A30ED">
            <w:pPr>
              <w:ind w:right="-590"/>
              <w:rPr>
                <w:lang w:val="en-US"/>
              </w:rPr>
            </w:pPr>
          </w:p>
          <w:p w:rsidR="004A30ED" w:rsidRDefault="004A30ED" w:rsidP="004A30ED">
            <w:pPr>
              <w:ind w:right="-590"/>
              <w:rPr>
                <w:lang w:val="en-US"/>
              </w:rPr>
            </w:pPr>
            <w:r>
              <w:rPr>
                <w:lang w:val="en-US"/>
              </w:rPr>
              <w:t>99%</w:t>
            </w:r>
          </w:p>
          <w:p w:rsidR="004A30ED" w:rsidRDefault="004A30ED" w:rsidP="004A30ED">
            <w:pPr>
              <w:ind w:right="-590"/>
              <w:rPr>
                <w:lang w:val="en-US"/>
              </w:rPr>
            </w:pPr>
          </w:p>
          <w:p w:rsidR="004A30ED" w:rsidRDefault="004A30ED" w:rsidP="004A30ED">
            <w:pPr>
              <w:ind w:right="-590"/>
              <w:rPr>
                <w:lang w:val="en-US"/>
              </w:rPr>
            </w:pPr>
            <w:r>
              <w:rPr>
                <w:lang w:val="en-US"/>
              </w:rPr>
              <w:t>91%</w:t>
            </w:r>
          </w:p>
        </w:tc>
      </w:tr>
      <w:tr w:rsidR="005948C3" w:rsidTr="00DC0DC2">
        <w:tc>
          <w:tcPr>
            <w:tcW w:w="4077" w:type="dxa"/>
          </w:tcPr>
          <w:p w:rsidR="005948C3" w:rsidRDefault="005948C3" w:rsidP="005948C3">
            <w:pPr>
              <w:ind w:right="-590"/>
              <w:rPr>
                <w:lang w:val="en-US"/>
              </w:rPr>
            </w:pPr>
          </w:p>
          <w:p w:rsidR="005948C3" w:rsidRDefault="005948C3" w:rsidP="005948C3">
            <w:pPr>
              <w:ind w:right="-590"/>
              <w:rPr>
                <w:lang w:val="en-US"/>
              </w:rPr>
            </w:pPr>
          </w:p>
          <w:p w:rsidR="005948C3" w:rsidRDefault="005948C3" w:rsidP="005948C3">
            <w:pPr>
              <w:pStyle w:val="ListParagraph"/>
              <w:numPr>
                <w:ilvl w:val="0"/>
                <w:numId w:val="11"/>
              </w:numPr>
              <w:ind w:left="284" w:right="-590" w:hanging="284"/>
              <w:rPr>
                <w:lang w:val="en-US"/>
              </w:rPr>
            </w:pPr>
            <w:r>
              <w:rPr>
                <w:lang w:val="en-US"/>
              </w:rPr>
              <w:t>CESUGA</w:t>
            </w:r>
          </w:p>
          <w:p w:rsidR="005948C3" w:rsidRPr="005948C3" w:rsidRDefault="005948C3" w:rsidP="005948C3">
            <w:pPr>
              <w:ind w:right="-590"/>
              <w:rPr>
                <w:lang w:val="en-US"/>
              </w:rPr>
            </w:pPr>
          </w:p>
        </w:tc>
        <w:tc>
          <w:tcPr>
            <w:tcW w:w="2977" w:type="dxa"/>
          </w:tcPr>
          <w:p w:rsidR="005948C3" w:rsidRDefault="005948C3" w:rsidP="005948C3">
            <w:pPr>
              <w:ind w:right="-590"/>
              <w:rPr>
                <w:lang w:val="en-US"/>
              </w:rPr>
            </w:pPr>
          </w:p>
          <w:p w:rsidR="005948C3" w:rsidRDefault="005948C3" w:rsidP="005948C3">
            <w:pPr>
              <w:ind w:right="-590"/>
              <w:rPr>
                <w:lang w:val="en-US"/>
              </w:rPr>
            </w:pPr>
          </w:p>
          <w:p w:rsidR="005948C3" w:rsidRPr="005948C3" w:rsidRDefault="005948C3" w:rsidP="005948C3">
            <w:pPr>
              <w:pStyle w:val="ListParagraph"/>
              <w:numPr>
                <w:ilvl w:val="0"/>
                <w:numId w:val="12"/>
              </w:numPr>
              <w:ind w:left="361" w:right="-590" w:hanging="283"/>
              <w:rPr>
                <w:lang w:val="en-US"/>
              </w:rPr>
            </w:pPr>
            <w:r w:rsidRPr="004A30ED">
              <w:rPr>
                <w:lang w:val="en-US"/>
              </w:rPr>
              <w:t>Undergraduate</w:t>
            </w:r>
          </w:p>
        </w:tc>
        <w:tc>
          <w:tcPr>
            <w:tcW w:w="3119" w:type="dxa"/>
          </w:tcPr>
          <w:p w:rsidR="005948C3" w:rsidRDefault="005948C3" w:rsidP="005948C3">
            <w:pPr>
              <w:ind w:right="-590"/>
              <w:rPr>
                <w:lang w:val="en-US"/>
              </w:rPr>
            </w:pPr>
          </w:p>
          <w:p w:rsidR="005948C3" w:rsidRDefault="005948C3" w:rsidP="005948C3">
            <w:pPr>
              <w:ind w:right="-590"/>
              <w:rPr>
                <w:lang w:val="en-US"/>
              </w:rPr>
            </w:pPr>
          </w:p>
          <w:p w:rsidR="005948C3" w:rsidRDefault="005948C3" w:rsidP="005948C3">
            <w:pPr>
              <w:ind w:right="-590"/>
              <w:rPr>
                <w:lang w:val="en-US"/>
              </w:rPr>
            </w:pPr>
            <w:r>
              <w:rPr>
                <w:lang w:val="en-US"/>
              </w:rPr>
              <w:t>99%</w:t>
            </w:r>
          </w:p>
        </w:tc>
      </w:tr>
    </w:tbl>
    <w:p w:rsidR="004A30ED" w:rsidRDefault="004A30ED" w:rsidP="004A30ED">
      <w:pPr>
        <w:spacing w:after="0"/>
        <w:ind w:right="-590"/>
        <w:rPr>
          <w:lang w:val="en-US"/>
        </w:rPr>
      </w:pPr>
    </w:p>
    <w:p w:rsidR="004A30ED" w:rsidRDefault="004A30ED" w:rsidP="004A30ED">
      <w:pPr>
        <w:spacing w:after="0"/>
        <w:ind w:right="-590"/>
        <w:rPr>
          <w:lang w:val="en-US"/>
        </w:rPr>
      </w:pPr>
    </w:p>
    <w:p w:rsidR="004A30ED" w:rsidRPr="004A30ED" w:rsidRDefault="004A30ED" w:rsidP="004A30ED">
      <w:pPr>
        <w:spacing w:after="0"/>
        <w:ind w:right="-590"/>
        <w:rPr>
          <w:lang w:val="en-US"/>
        </w:rPr>
      </w:pPr>
    </w:p>
    <w:p w:rsidR="004A30ED" w:rsidRPr="004A30ED" w:rsidRDefault="004A30ED" w:rsidP="004A30ED">
      <w:pPr>
        <w:spacing w:after="0"/>
        <w:ind w:right="-590"/>
        <w:rPr>
          <w:lang w:val="en-US"/>
        </w:rPr>
      </w:pPr>
    </w:p>
    <w:sectPr w:rsidR="004A30ED" w:rsidRPr="004A30ED" w:rsidSect="00D45415">
      <w:footerReference w:type="default" r:id="rId15"/>
      <w:pgSz w:w="11907" w:h="16839" w:code="9"/>
      <w:pgMar w:top="1304" w:right="1440"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B0" w:rsidRDefault="000C4FB0" w:rsidP="00D534E5">
      <w:pPr>
        <w:spacing w:after="0" w:line="240" w:lineRule="auto"/>
      </w:pPr>
      <w:r>
        <w:separator/>
      </w:r>
    </w:p>
  </w:endnote>
  <w:endnote w:type="continuationSeparator" w:id="0">
    <w:p w:rsidR="000C4FB0" w:rsidRDefault="000C4FB0" w:rsidP="00D5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95072"/>
      <w:docPartObj>
        <w:docPartGallery w:val="Page Numbers (Bottom of Page)"/>
        <w:docPartUnique/>
      </w:docPartObj>
    </w:sdtPr>
    <w:sdtEndPr>
      <w:rPr>
        <w:noProof/>
      </w:rPr>
    </w:sdtEndPr>
    <w:sdtContent>
      <w:p w:rsidR="000C4FB0" w:rsidRDefault="00BC07C6" w:rsidP="00FB2351">
        <w:pPr>
          <w:pStyle w:val="Footer"/>
          <w:jc w:val="center"/>
        </w:pPr>
        <w:r>
          <w:fldChar w:fldCharType="begin"/>
        </w:r>
        <w:r>
          <w:instrText xml:space="preserve"> PAGE   \* MERGEFORMAT </w:instrText>
        </w:r>
        <w:r>
          <w:fldChar w:fldCharType="separate"/>
        </w:r>
        <w:r w:rsidR="00400533">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B0" w:rsidRDefault="000C4FB0" w:rsidP="00D534E5">
      <w:pPr>
        <w:spacing w:after="0" w:line="240" w:lineRule="auto"/>
      </w:pPr>
      <w:r>
        <w:separator/>
      </w:r>
    </w:p>
  </w:footnote>
  <w:footnote w:type="continuationSeparator" w:id="0">
    <w:p w:rsidR="000C4FB0" w:rsidRDefault="000C4FB0" w:rsidP="00D534E5">
      <w:pPr>
        <w:spacing w:after="0" w:line="240" w:lineRule="auto"/>
      </w:pPr>
      <w:r>
        <w:continuationSeparator/>
      </w:r>
    </w:p>
  </w:footnote>
  <w:footnote w:id="1">
    <w:p w:rsidR="00063037" w:rsidRDefault="00063037">
      <w:pPr>
        <w:pStyle w:val="FootnoteText"/>
      </w:pPr>
      <w:r>
        <w:rPr>
          <w:rStyle w:val="FootnoteReference"/>
        </w:rPr>
        <w:footnoteRef/>
      </w:r>
      <w:r>
        <w:t xml:space="preserve"> </w:t>
      </w:r>
      <w:r w:rsidRPr="00063037">
        <w:rPr>
          <w:i/>
        </w:rPr>
        <w:t xml:space="preserve">IHEQN </w:t>
      </w:r>
      <w:r w:rsidR="00453C70" w:rsidRPr="00063037">
        <w:rPr>
          <w:i/>
        </w:rPr>
        <w:t>Guidelines</w:t>
      </w:r>
      <w:r w:rsidRPr="00063037">
        <w:rPr>
          <w:i/>
        </w:rPr>
        <w:t xml:space="preserve"> for the Approval, </w:t>
      </w:r>
      <w:r w:rsidR="00453C70" w:rsidRPr="00063037">
        <w:rPr>
          <w:i/>
        </w:rPr>
        <w:t>Monitoring</w:t>
      </w:r>
      <w:r w:rsidR="00453C70">
        <w:rPr>
          <w:i/>
        </w:rPr>
        <w:t xml:space="preserve"> and Review of Collaborativ</w:t>
      </w:r>
      <w:r w:rsidRPr="00063037">
        <w:rPr>
          <w:i/>
        </w:rPr>
        <w:t>e and Transnational Provision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0D08"/>
    <w:multiLevelType w:val="hybridMultilevel"/>
    <w:tmpl w:val="42F661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869271A"/>
    <w:multiLevelType w:val="hybridMultilevel"/>
    <w:tmpl w:val="82348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53A27E9"/>
    <w:multiLevelType w:val="hybridMultilevel"/>
    <w:tmpl w:val="3B7E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6151B"/>
    <w:multiLevelType w:val="hybridMultilevel"/>
    <w:tmpl w:val="81BA2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2569C"/>
    <w:multiLevelType w:val="hybridMultilevel"/>
    <w:tmpl w:val="AA0E8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AB35A09"/>
    <w:multiLevelType w:val="hybridMultilevel"/>
    <w:tmpl w:val="8BD6FE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6E35CFA"/>
    <w:multiLevelType w:val="hybridMultilevel"/>
    <w:tmpl w:val="933CF2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8E31172"/>
    <w:multiLevelType w:val="hybridMultilevel"/>
    <w:tmpl w:val="607CF5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9C75714"/>
    <w:multiLevelType w:val="hybridMultilevel"/>
    <w:tmpl w:val="C636A1F0"/>
    <w:lvl w:ilvl="0" w:tplc="94786A34">
      <w:start w:val="3"/>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82D2410"/>
    <w:multiLevelType w:val="hybridMultilevel"/>
    <w:tmpl w:val="173A56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83A2D5C"/>
    <w:multiLevelType w:val="hybridMultilevel"/>
    <w:tmpl w:val="886E6578"/>
    <w:lvl w:ilvl="0" w:tplc="6450C4BA">
      <w:start w:val="1"/>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CE81F1A"/>
    <w:multiLevelType w:val="hybridMultilevel"/>
    <w:tmpl w:val="4C943D40"/>
    <w:lvl w:ilvl="0" w:tplc="7052728E">
      <w:start w:val="1"/>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9"/>
  </w:num>
  <w:num w:numId="6">
    <w:abstractNumId w:val="4"/>
  </w:num>
  <w:num w:numId="7">
    <w:abstractNumId w:val="11"/>
  </w:num>
  <w:num w:numId="8">
    <w:abstractNumId w:val="10"/>
  </w:num>
  <w:num w:numId="9">
    <w:abstractNumId w:val="2"/>
  </w:num>
  <w:num w:numId="10">
    <w:abstractNumId w:val="3"/>
  </w:num>
  <w:num w:numId="11">
    <w:abstractNumId w:val="0"/>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2433"/>
    <w:rsid w:val="00001264"/>
    <w:rsid w:val="000352E2"/>
    <w:rsid w:val="0004110D"/>
    <w:rsid w:val="00063037"/>
    <w:rsid w:val="00076DB5"/>
    <w:rsid w:val="00083ED7"/>
    <w:rsid w:val="000A52C6"/>
    <w:rsid w:val="000C4FB0"/>
    <w:rsid w:val="00102E84"/>
    <w:rsid w:val="00106C61"/>
    <w:rsid w:val="00115C2E"/>
    <w:rsid w:val="00126917"/>
    <w:rsid w:val="00150A78"/>
    <w:rsid w:val="00164DB1"/>
    <w:rsid w:val="00171262"/>
    <w:rsid w:val="00173C3B"/>
    <w:rsid w:val="0019439D"/>
    <w:rsid w:val="001B0F6A"/>
    <w:rsid w:val="001F5943"/>
    <w:rsid w:val="00211670"/>
    <w:rsid w:val="00213B80"/>
    <w:rsid w:val="00232036"/>
    <w:rsid w:val="00242AB5"/>
    <w:rsid w:val="0025768A"/>
    <w:rsid w:val="00260909"/>
    <w:rsid w:val="00264ED4"/>
    <w:rsid w:val="00286973"/>
    <w:rsid w:val="00291497"/>
    <w:rsid w:val="002E3C61"/>
    <w:rsid w:val="002F2136"/>
    <w:rsid w:val="00303925"/>
    <w:rsid w:val="00320258"/>
    <w:rsid w:val="0032239A"/>
    <w:rsid w:val="00337292"/>
    <w:rsid w:val="003A32A4"/>
    <w:rsid w:val="003C1A44"/>
    <w:rsid w:val="003F4DAD"/>
    <w:rsid w:val="00400533"/>
    <w:rsid w:val="0040702D"/>
    <w:rsid w:val="004147C3"/>
    <w:rsid w:val="00422F42"/>
    <w:rsid w:val="00453C70"/>
    <w:rsid w:val="0048588F"/>
    <w:rsid w:val="004A30ED"/>
    <w:rsid w:val="004B0FCA"/>
    <w:rsid w:val="004F3847"/>
    <w:rsid w:val="005102B1"/>
    <w:rsid w:val="00542B3C"/>
    <w:rsid w:val="0054341C"/>
    <w:rsid w:val="00546968"/>
    <w:rsid w:val="005948C3"/>
    <w:rsid w:val="005B57BB"/>
    <w:rsid w:val="00624F78"/>
    <w:rsid w:val="0065430B"/>
    <w:rsid w:val="00663459"/>
    <w:rsid w:val="00676C60"/>
    <w:rsid w:val="00676D7A"/>
    <w:rsid w:val="0068268D"/>
    <w:rsid w:val="006F2A88"/>
    <w:rsid w:val="006F2C5C"/>
    <w:rsid w:val="00711684"/>
    <w:rsid w:val="00732433"/>
    <w:rsid w:val="00766AAC"/>
    <w:rsid w:val="00773689"/>
    <w:rsid w:val="007943B4"/>
    <w:rsid w:val="00796E2C"/>
    <w:rsid w:val="007A683D"/>
    <w:rsid w:val="007D7606"/>
    <w:rsid w:val="0080003D"/>
    <w:rsid w:val="008459F1"/>
    <w:rsid w:val="00927251"/>
    <w:rsid w:val="00927B56"/>
    <w:rsid w:val="00940BA5"/>
    <w:rsid w:val="00957420"/>
    <w:rsid w:val="0097708A"/>
    <w:rsid w:val="009900B5"/>
    <w:rsid w:val="009B402B"/>
    <w:rsid w:val="009C11D6"/>
    <w:rsid w:val="00A01B08"/>
    <w:rsid w:val="00A6474D"/>
    <w:rsid w:val="00AB26BA"/>
    <w:rsid w:val="00AD09CA"/>
    <w:rsid w:val="00AE0E01"/>
    <w:rsid w:val="00B068B8"/>
    <w:rsid w:val="00B11AA7"/>
    <w:rsid w:val="00B143D3"/>
    <w:rsid w:val="00B27EEA"/>
    <w:rsid w:val="00B44F8C"/>
    <w:rsid w:val="00B527DC"/>
    <w:rsid w:val="00B62665"/>
    <w:rsid w:val="00B71819"/>
    <w:rsid w:val="00B805DB"/>
    <w:rsid w:val="00BA2766"/>
    <w:rsid w:val="00BC07C6"/>
    <w:rsid w:val="00C0558F"/>
    <w:rsid w:val="00C245DA"/>
    <w:rsid w:val="00C322B1"/>
    <w:rsid w:val="00C620C7"/>
    <w:rsid w:val="00C81650"/>
    <w:rsid w:val="00CB5383"/>
    <w:rsid w:val="00CC1B5B"/>
    <w:rsid w:val="00CF4FC2"/>
    <w:rsid w:val="00D10B25"/>
    <w:rsid w:val="00D1290C"/>
    <w:rsid w:val="00D131D7"/>
    <w:rsid w:val="00D177D6"/>
    <w:rsid w:val="00D35F42"/>
    <w:rsid w:val="00D439F3"/>
    <w:rsid w:val="00D45415"/>
    <w:rsid w:val="00D534E5"/>
    <w:rsid w:val="00D53F6B"/>
    <w:rsid w:val="00DA4110"/>
    <w:rsid w:val="00DB11A8"/>
    <w:rsid w:val="00DB5EFB"/>
    <w:rsid w:val="00DC0DC2"/>
    <w:rsid w:val="00DE05B9"/>
    <w:rsid w:val="00E63EB8"/>
    <w:rsid w:val="00E800FB"/>
    <w:rsid w:val="00ED361D"/>
    <w:rsid w:val="00EF2D57"/>
    <w:rsid w:val="00F06B73"/>
    <w:rsid w:val="00F16D6D"/>
    <w:rsid w:val="00F41345"/>
    <w:rsid w:val="00F4230D"/>
    <w:rsid w:val="00F44D8D"/>
    <w:rsid w:val="00F75BB8"/>
    <w:rsid w:val="00FB2351"/>
    <w:rsid w:val="00FB3576"/>
    <w:rsid w:val="00FB7E34"/>
    <w:rsid w:val="00FC19C3"/>
    <w:rsid w:val="00FF78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909"/>
    <w:pPr>
      <w:ind w:left="720"/>
      <w:contextualSpacing/>
    </w:pPr>
  </w:style>
  <w:style w:type="paragraph" w:customStyle="1" w:styleId="Default">
    <w:name w:val="Default"/>
    <w:rsid w:val="00213B80"/>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rsid w:val="00C62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6BA"/>
    <w:rPr>
      <w:rFonts w:ascii="Tahoma" w:hAnsi="Tahoma" w:cs="Tahoma"/>
      <w:sz w:val="16"/>
      <w:szCs w:val="16"/>
    </w:rPr>
  </w:style>
  <w:style w:type="paragraph" w:styleId="EndnoteText">
    <w:name w:val="endnote text"/>
    <w:basedOn w:val="Normal"/>
    <w:link w:val="EndnoteTextChar"/>
    <w:uiPriority w:val="99"/>
    <w:semiHidden/>
    <w:unhideWhenUsed/>
    <w:rsid w:val="00D534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34E5"/>
    <w:rPr>
      <w:sz w:val="20"/>
      <w:szCs w:val="20"/>
    </w:rPr>
  </w:style>
  <w:style w:type="character" w:styleId="EndnoteReference">
    <w:name w:val="endnote reference"/>
    <w:basedOn w:val="DefaultParagraphFont"/>
    <w:uiPriority w:val="99"/>
    <w:semiHidden/>
    <w:unhideWhenUsed/>
    <w:rsid w:val="00D534E5"/>
    <w:rPr>
      <w:vertAlign w:val="superscript"/>
    </w:rPr>
  </w:style>
  <w:style w:type="character" w:styleId="Hyperlink">
    <w:name w:val="Hyperlink"/>
    <w:basedOn w:val="DefaultParagraphFont"/>
    <w:uiPriority w:val="99"/>
    <w:unhideWhenUsed/>
    <w:rsid w:val="00DA4110"/>
    <w:rPr>
      <w:color w:val="0000FF"/>
      <w:u w:val="single"/>
    </w:rPr>
  </w:style>
  <w:style w:type="paragraph" w:styleId="FootnoteText">
    <w:name w:val="footnote text"/>
    <w:basedOn w:val="Normal"/>
    <w:link w:val="FootnoteTextChar"/>
    <w:uiPriority w:val="99"/>
    <w:semiHidden/>
    <w:unhideWhenUsed/>
    <w:rsid w:val="003A32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2A4"/>
    <w:rPr>
      <w:sz w:val="20"/>
      <w:szCs w:val="20"/>
    </w:rPr>
  </w:style>
  <w:style w:type="character" w:styleId="FootnoteReference">
    <w:name w:val="footnote reference"/>
    <w:basedOn w:val="DefaultParagraphFont"/>
    <w:uiPriority w:val="99"/>
    <w:semiHidden/>
    <w:unhideWhenUsed/>
    <w:rsid w:val="003A32A4"/>
    <w:rPr>
      <w:vertAlign w:val="superscript"/>
    </w:rPr>
  </w:style>
  <w:style w:type="paragraph" w:styleId="Header">
    <w:name w:val="header"/>
    <w:basedOn w:val="Normal"/>
    <w:link w:val="HeaderChar"/>
    <w:uiPriority w:val="99"/>
    <w:unhideWhenUsed/>
    <w:rsid w:val="00FB7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E34"/>
  </w:style>
  <w:style w:type="paragraph" w:styleId="Footer">
    <w:name w:val="footer"/>
    <w:basedOn w:val="Normal"/>
    <w:link w:val="FooterChar"/>
    <w:uiPriority w:val="99"/>
    <w:unhideWhenUsed/>
    <w:rsid w:val="00FB7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909"/>
    <w:pPr>
      <w:ind w:left="720"/>
      <w:contextualSpacing/>
    </w:pPr>
  </w:style>
  <w:style w:type="paragraph" w:customStyle="1" w:styleId="Default">
    <w:name w:val="Default"/>
    <w:rsid w:val="00213B80"/>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C62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6BA"/>
    <w:rPr>
      <w:rFonts w:ascii="Tahoma" w:hAnsi="Tahoma" w:cs="Tahoma"/>
      <w:sz w:val="16"/>
      <w:szCs w:val="16"/>
    </w:rPr>
  </w:style>
  <w:style w:type="paragraph" w:styleId="EndnoteText">
    <w:name w:val="endnote text"/>
    <w:basedOn w:val="Normal"/>
    <w:link w:val="EndnoteTextChar"/>
    <w:uiPriority w:val="99"/>
    <w:semiHidden/>
    <w:unhideWhenUsed/>
    <w:rsid w:val="00D534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34E5"/>
    <w:rPr>
      <w:sz w:val="20"/>
      <w:szCs w:val="20"/>
    </w:rPr>
  </w:style>
  <w:style w:type="character" w:styleId="EndnoteReference">
    <w:name w:val="endnote reference"/>
    <w:basedOn w:val="DefaultParagraphFont"/>
    <w:uiPriority w:val="99"/>
    <w:semiHidden/>
    <w:unhideWhenUsed/>
    <w:rsid w:val="00D534E5"/>
    <w:rPr>
      <w:vertAlign w:val="superscript"/>
    </w:rPr>
  </w:style>
  <w:style w:type="character" w:styleId="Hyperlink">
    <w:name w:val="Hyperlink"/>
    <w:basedOn w:val="DefaultParagraphFont"/>
    <w:uiPriority w:val="99"/>
    <w:unhideWhenUsed/>
    <w:rsid w:val="00DA4110"/>
    <w:rPr>
      <w:color w:val="0000FF"/>
      <w:u w:val="single"/>
    </w:rPr>
  </w:style>
  <w:style w:type="paragraph" w:styleId="FootnoteText">
    <w:name w:val="footnote text"/>
    <w:basedOn w:val="Normal"/>
    <w:link w:val="FootnoteTextChar"/>
    <w:uiPriority w:val="99"/>
    <w:semiHidden/>
    <w:unhideWhenUsed/>
    <w:rsid w:val="003A32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2A4"/>
    <w:rPr>
      <w:sz w:val="20"/>
      <w:szCs w:val="20"/>
    </w:rPr>
  </w:style>
  <w:style w:type="character" w:styleId="FootnoteReference">
    <w:name w:val="footnote reference"/>
    <w:basedOn w:val="DefaultParagraphFont"/>
    <w:uiPriority w:val="99"/>
    <w:semiHidden/>
    <w:unhideWhenUsed/>
    <w:rsid w:val="003A32A4"/>
    <w:rPr>
      <w:vertAlign w:val="superscript"/>
    </w:rPr>
  </w:style>
  <w:style w:type="paragraph" w:styleId="Header">
    <w:name w:val="header"/>
    <w:basedOn w:val="Normal"/>
    <w:link w:val="HeaderChar"/>
    <w:uiPriority w:val="99"/>
    <w:unhideWhenUsed/>
    <w:rsid w:val="00FB7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E34"/>
  </w:style>
  <w:style w:type="paragraph" w:styleId="Footer">
    <w:name w:val="footer"/>
    <w:basedOn w:val="Normal"/>
    <w:link w:val="FooterChar"/>
    <w:uiPriority w:val="99"/>
    <w:unhideWhenUsed/>
    <w:rsid w:val="00FB7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Macro-Enabled_Worksheet1.xlsm"/></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Macro-Enabled_Worksheet2.xlsm"/></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Macro-Enabled_Worksheet3.xlsm"/></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Macro-Enabled_Worksheet4.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60427807486602"/>
          <c:y val="0.12962962962962937"/>
          <c:w val="0.43850267379679203"/>
          <c:h val="0.75925925925925963"/>
        </c:manualLayout>
      </c:layout>
      <c:pieChart>
        <c:varyColors val="1"/>
        <c:ser>
          <c:idx val="0"/>
          <c:order val="0"/>
          <c:tx>
            <c:strRef>
              <c:f>Sheet1!$A$2</c:f>
              <c:strCache>
                <c:ptCount val="1"/>
                <c:pt idx="0">
                  <c:v>East</c:v>
                </c:pt>
              </c:strCache>
            </c:strRef>
          </c:tx>
          <c:spPr>
            <a:solidFill>
              <a:srgbClr val="63AAFE"/>
            </a:solidFill>
            <a:ln w="11723">
              <a:solidFill>
                <a:srgbClr val="000000"/>
              </a:solidFill>
              <a:prstDash val="solid"/>
            </a:ln>
            <a:effectLst>
              <a:outerShdw dist="35921" dir="2700000" algn="br">
                <a:srgbClr val="000000"/>
              </a:outerShdw>
            </a:effectLst>
          </c:spPr>
          <c:dPt>
            <c:idx val="1"/>
            <c:bubble3D val="0"/>
            <c:spPr>
              <a:solidFill>
                <a:srgbClr val="DD2D32"/>
              </a:solidFill>
              <a:ln w="11723">
                <a:solidFill>
                  <a:srgbClr val="000000"/>
                </a:solidFill>
                <a:prstDash val="solid"/>
              </a:ln>
              <a:effectLst>
                <a:outerShdw dist="35921" dir="2700000" algn="br">
                  <a:srgbClr val="000000"/>
                </a:outerShdw>
              </a:effectLst>
            </c:spPr>
          </c:dPt>
          <c:dPt>
            <c:idx val="2"/>
            <c:bubble3D val="0"/>
            <c:spPr>
              <a:solidFill>
                <a:srgbClr val="FFF58C"/>
              </a:solidFill>
              <a:ln w="11723">
                <a:solidFill>
                  <a:srgbClr val="000000"/>
                </a:solidFill>
                <a:prstDash val="solid"/>
              </a:ln>
              <a:effectLst>
                <a:outerShdw dist="35921" dir="2700000" algn="br">
                  <a:srgbClr val="000000"/>
                </a:outerShdw>
              </a:effectLst>
            </c:spPr>
          </c:dPt>
          <c:cat>
            <c:strRef>
              <c:f>Sheet1!$B$1:$D$1</c:f>
              <c:strCache>
                <c:ptCount val="3"/>
                <c:pt idx="0">
                  <c:v>Module 1 (X votes)</c:v>
                </c:pt>
                <c:pt idx="1">
                  <c:v>Module 2 (X votes)</c:v>
                </c:pt>
                <c:pt idx="2">
                  <c:v>others</c:v>
                </c:pt>
              </c:strCache>
            </c:strRef>
          </c:cat>
          <c:val>
            <c:numRef>
              <c:f>Sheet1!$B$2:$D$2</c:f>
              <c:numCache>
                <c:formatCode>General</c:formatCode>
                <c:ptCount val="3"/>
                <c:pt idx="0">
                  <c:v>0.60000000000000064</c:v>
                </c:pt>
                <c:pt idx="1">
                  <c:v>0.22000000000000008</c:v>
                </c:pt>
                <c:pt idx="2">
                  <c:v>0.18000000000000022</c:v>
                </c:pt>
              </c:numCache>
            </c:numRef>
          </c:val>
        </c:ser>
        <c:dLbls>
          <c:showLegendKey val="0"/>
          <c:showVal val="0"/>
          <c:showCatName val="0"/>
          <c:showSerName val="0"/>
          <c:showPercent val="0"/>
          <c:showBubbleSize val="0"/>
          <c:showLeaderLines val="1"/>
        </c:dLbls>
        <c:firstSliceAng val="0"/>
      </c:pieChart>
      <c:spPr>
        <a:solidFill>
          <a:srgbClr val="CDCDCD"/>
        </a:solidFill>
        <a:ln w="11723">
          <a:solidFill>
            <a:srgbClr val="808080"/>
          </a:solidFill>
          <a:prstDash val="solid"/>
        </a:ln>
      </c:spPr>
    </c:plotArea>
    <c:legend>
      <c:legendPos val="r"/>
      <c:layout>
        <c:manualLayout>
          <c:xMode val="edge"/>
          <c:yMode val="edge"/>
          <c:x val="0.63636363636363769"/>
          <c:y val="0.19444444444444484"/>
          <c:w val="0.34759358288770065"/>
          <c:h val="0.62037037037037168"/>
        </c:manualLayout>
      </c:layout>
      <c:overlay val="0"/>
      <c:spPr>
        <a:noFill/>
        <a:ln w="23446">
          <a:noFill/>
        </a:ln>
      </c:spPr>
      <c:txPr>
        <a:bodyPr/>
        <a:lstStyle/>
        <a:p>
          <a:pPr>
            <a:defRPr sz="678" b="0" i="0" u="none" strike="noStrike" baseline="0">
              <a:solidFill>
                <a:srgbClr val="000000"/>
              </a:solidFill>
              <a:latin typeface="Geneva"/>
              <a:ea typeface="Geneva"/>
              <a:cs typeface="Geneva"/>
            </a:defRPr>
          </a:pPr>
          <a:endParaRPr lang="en-US"/>
        </a:p>
      </c:txPr>
    </c:legend>
    <c:plotVisOnly val="1"/>
    <c:dispBlanksAs val="zero"/>
    <c:showDLblsOverMax val="0"/>
  </c:chart>
  <c:spPr>
    <a:noFill/>
    <a:ln>
      <a:noFill/>
    </a:ln>
  </c:spPr>
  <c:txPr>
    <a:bodyPr/>
    <a:lstStyle/>
    <a:p>
      <a:pPr>
        <a:defRPr sz="738" b="0" i="0" u="none" strike="noStrike" baseline="0">
          <a:solidFill>
            <a:srgbClr val="000000"/>
          </a:solidFill>
          <a:latin typeface="Geneva"/>
          <a:ea typeface="Geneva"/>
          <a:cs typeface="Geneva"/>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577889447236"/>
          <c:y val="0.12727272727272687"/>
          <c:w val="0.42211055276381931"/>
          <c:h val="0.763636363636364"/>
        </c:manualLayout>
      </c:layout>
      <c:pieChart>
        <c:varyColors val="1"/>
        <c:ser>
          <c:idx val="0"/>
          <c:order val="0"/>
          <c:tx>
            <c:strRef>
              <c:f>Sheet1!$A$2</c:f>
              <c:strCache>
                <c:ptCount val="1"/>
                <c:pt idx="0">
                  <c:v>East</c:v>
                </c:pt>
              </c:strCache>
            </c:strRef>
          </c:tx>
          <c:spPr>
            <a:solidFill>
              <a:srgbClr val="63AAFE"/>
            </a:solidFill>
            <a:ln w="12356">
              <a:solidFill>
                <a:srgbClr val="000000"/>
              </a:solidFill>
              <a:prstDash val="solid"/>
            </a:ln>
            <a:effectLst>
              <a:outerShdw dist="35921" dir="2700000" algn="br">
                <a:srgbClr val="000000"/>
              </a:outerShdw>
            </a:effectLst>
          </c:spPr>
          <c:dPt>
            <c:idx val="1"/>
            <c:bubble3D val="0"/>
            <c:spPr>
              <a:solidFill>
                <a:srgbClr val="DD2D32"/>
              </a:solidFill>
              <a:ln w="12356">
                <a:solidFill>
                  <a:srgbClr val="000000"/>
                </a:solidFill>
                <a:prstDash val="solid"/>
              </a:ln>
              <a:effectLst>
                <a:outerShdw dist="35921" dir="2700000" algn="br">
                  <a:srgbClr val="000000"/>
                </a:outerShdw>
              </a:effectLst>
            </c:spPr>
          </c:dPt>
          <c:dPt>
            <c:idx val="2"/>
            <c:bubble3D val="0"/>
            <c:spPr>
              <a:solidFill>
                <a:srgbClr val="FFF58C"/>
              </a:solidFill>
              <a:ln w="12356">
                <a:solidFill>
                  <a:srgbClr val="000000"/>
                </a:solidFill>
                <a:prstDash val="solid"/>
              </a:ln>
              <a:effectLst>
                <a:outerShdw dist="35921" dir="2700000" algn="br">
                  <a:srgbClr val="000000"/>
                </a:outerShdw>
              </a:effectLst>
            </c:spPr>
          </c:dPt>
          <c:dPt>
            <c:idx val="3"/>
            <c:bubble3D val="0"/>
            <c:spPr>
              <a:solidFill>
                <a:srgbClr val="4EE257"/>
              </a:solidFill>
              <a:ln w="12356">
                <a:solidFill>
                  <a:srgbClr val="000000"/>
                </a:solidFill>
                <a:prstDash val="solid"/>
              </a:ln>
              <a:effectLst>
                <a:outerShdw dist="35921" dir="2700000" algn="br">
                  <a:srgbClr val="000000"/>
                </a:outerShdw>
              </a:effectLst>
            </c:spPr>
          </c:dPt>
          <c:cat>
            <c:strRef>
              <c:f>Sheet1!$B$1:$E$1</c:f>
              <c:strCache>
                <c:ptCount val="4"/>
                <c:pt idx="0">
                  <c:v>Module 1 (X votes)</c:v>
                </c:pt>
                <c:pt idx="1">
                  <c:v>Module 2 (X votes)</c:v>
                </c:pt>
                <c:pt idx="2">
                  <c:v>unrelated to modules (X votes)</c:v>
                </c:pt>
                <c:pt idx="3">
                  <c:v>Other</c:v>
                </c:pt>
              </c:strCache>
            </c:strRef>
          </c:cat>
          <c:val>
            <c:numRef>
              <c:f>Sheet1!$B$2:$E$2</c:f>
              <c:numCache>
                <c:formatCode>General</c:formatCode>
                <c:ptCount val="4"/>
                <c:pt idx="0">
                  <c:v>0.35000000000000031</c:v>
                </c:pt>
                <c:pt idx="1">
                  <c:v>0.22</c:v>
                </c:pt>
                <c:pt idx="2">
                  <c:v>0.35000000000000031</c:v>
                </c:pt>
                <c:pt idx="3">
                  <c:v>8.0000000000000043E-2</c:v>
                </c:pt>
              </c:numCache>
            </c:numRef>
          </c:val>
        </c:ser>
        <c:dLbls>
          <c:showLegendKey val="0"/>
          <c:showVal val="0"/>
          <c:showCatName val="0"/>
          <c:showSerName val="0"/>
          <c:showPercent val="0"/>
          <c:showBubbleSize val="0"/>
          <c:showLeaderLines val="1"/>
        </c:dLbls>
        <c:firstSliceAng val="0"/>
      </c:pieChart>
      <c:spPr>
        <a:solidFill>
          <a:srgbClr val="CDCDCD"/>
        </a:solidFill>
        <a:ln w="12356">
          <a:solidFill>
            <a:srgbClr val="808080"/>
          </a:solidFill>
          <a:prstDash val="solid"/>
        </a:ln>
      </c:spPr>
    </c:plotArea>
    <c:legend>
      <c:legendPos val="r"/>
      <c:layout>
        <c:manualLayout>
          <c:xMode val="edge"/>
          <c:yMode val="edge"/>
          <c:x val="0.63285024154589531"/>
          <c:y val="0.15758843208545625"/>
          <c:w val="0.2318840579710145"/>
          <c:h val="0.68482251801694649"/>
        </c:manualLayout>
      </c:layout>
      <c:overlay val="0"/>
      <c:spPr>
        <a:noFill/>
        <a:ln w="24712">
          <a:noFill/>
        </a:ln>
      </c:spPr>
      <c:txPr>
        <a:bodyPr/>
        <a:lstStyle/>
        <a:p>
          <a:pPr>
            <a:defRPr sz="715" b="0" i="0" u="none" strike="noStrike" baseline="0">
              <a:solidFill>
                <a:srgbClr val="000000"/>
              </a:solidFill>
              <a:latin typeface="Geneva"/>
              <a:ea typeface="Geneva"/>
              <a:cs typeface="Geneva"/>
            </a:defRPr>
          </a:pPr>
          <a:endParaRPr lang="en-US"/>
        </a:p>
      </c:txPr>
    </c:legend>
    <c:plotVisOnly val="1"/>
    <c:dispBlanksAs val="zero"/>
    <c:showDLblsOverMax val="0"/>
  </c:chart>
  <c:spPr>
    <a:noFill/>
    <a:ln>
      <a:noFill/>
    </a:ln>
  </c:spPr>
  <c:txPr>
    <a:bodyPr/>
    <a:lstStyle/>
    <a:p>
      <a:pPr>
        <a:defRPr sz="778" b="0" i="0" u="none" strike="noStrike" baseline="0">
          <a:solidFill>
            <a:srgbClr val="000000"/>
          </a:solidFill>
          <a:latin typeface="Geneva"/>
          <a:ea typeface="Geneva"/>
          <a:cs typeface="Geneva"/>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709317585301829E-2"/>
          <c:y val="7.6388888888888895E-2"/>
          <c:w val="0.43055555555555558"/>
          <c:h val="0.6458333333333347"/>
        </c:manualLayout>
      </c:layout>
      <c:pieChart>
        <c:varyColors val="1"/>
        <c:ser>
          <c:idx val="0"/>
          <c:order val="0"/>
          <c:tx>
            <c:strRef>
              <c:f>Sheet1!$A$2</c:f>
              <c:strCache>
                <c:ptCount val="1"/>
                <c:pt idx="0">
                  <c:v>East</c:v>
                </c:pt>
              </c:strCache>
            </c:strRef>
          </c:tx>
          <c:spPr>
            <a:solidFill>
              <a:srgbClr val="63AAFE"/>
            </a:solidFill>
            <a:ln w="12700">
              <a:solidFill>
                <a:srgbClr val="000000"/>
              </a:solidFill>
              <a:prstDash val="solid"/>
            </a:ln>
            <a:effectLst>
              <a:outerShdw dist="35921" dir="2700000" algn="br">
                <a:srgbClr val="000000"/>
              </a:outerShdw>
            </a:effectLst>
          </c:spPr>
          <c:dPt>
            <c:idx val="1"/>
            <c:bubble3D val="0"/>
            <c:spPr>
              <a:solidFill>
                <a:srgbClr val="DD2D32"/>
              </a:solidFill>
              <a:ln w="12700">
                <a:solidFill>
                  <a:srgbClr val="000000"/>
                </a:solidFill>
                <a:prstDash val="solid"/>
              </a:ln>
              <a:effectLst>
                <a:outerShdw dist="35921" dir="2700000" algn="br">
                  <a:srgbClr val="000000"/>
                </a:outerShdw>
              </a:effectLst>
            </c:spPr>
          </c:dPt>
          <c:dPt>
            <c:idx val="2"/>
            <c:bubble3D val="0"/>
            <c:spPr>
              <a:solidFill>
                <a:srgbClr val="FFF58C"/>
              </a:solidFill>
              <a:ln w="12700">
                <a:solidFill>
                  <a:srgbClr val="000000"/>
                </a:solidFill>
                <a:prstDash val="solid"/>
              </a:ln>
              <a:effectLst>
                <a:outerShdw dist="35921" dir="2700000" algn="br">
                  <a:srgbClr val="000000"/>
                </a:outerShdw>
              </a:effectLst>
            </c:spPr>
          </c:dPt>
          <c:cat>
            <c:strRef>
              <c:f>Sheet1!$B$1:$D$1</c:f>
              <c:strCache>
                <c:ptCount val="3"/>
                <c:pt idx="0">
                  <c:v>Better than</c:v>
                </c:pt>
                <c:pt idx="1">
                  <c:v>worse than</c:v>
                </c:pt>
                <c:pt idx="2">
                  <c:v>equal to</c:v>
                </c:pt>
              </c:strCache>
            </c:strRef>
          </c:cat>
          <c:val>
            <c:numRef>
              <c:f>Sheet1!$B$2:$D$2</c:f>
              <c:numCache>
                <c:formatCode>General</c:formatCode>
                <c:ptCount val="3"/>
                <c:pt idx="0">
                  <c:v>0</c:v>
                </c:pt>
                <c:pt idx="1">
                  <c:v>0.13</c:v>
                </c:pt>
                <c:pt idx="2">
                  <c:v>0.87000000000000088</c:v>
                </c:pt>
              </c:numCache>
            </c:numRef>
          </c:val>
        </c:ser>
        <c:dLbls>
          <c:showLegendKey val="0"/>
          <c:showVal val="0"/>
          <c:showCatName val="0"/>
          <c:showSerName val="0"/>
          <c:showPercent val="0"/>
          <c:showBubbleSize val="0"/>
          <c:showLeaderLines val="1"/>
        </c:dLbls>
        <c:firstSliceAng val="0"/>
      </c:pieChart>
      <c:spPr>
        <a:solidFill>
          <a:srgbClr val="CDCDCD"/>
        </a:solidFill>
        <a:ln w="12700">
          <a:solidFill>
            <a:srgbClr val="808080"/>
          </a:solidFill>
          <a:prstDash val="solid"/>
        </a:ln>
      </c:spPr>
    </c:plotArea>
    <c:legend>
      <c:legendPos val="r"/>
      <c:layout>
        <c:manualLayout>
          <c:xMode val="edge"/>
          <c:yMode val="edge"/>
          <c:x val="0.56230788859725767"/>
          <c:y val="0.26718066491688597"/>
          <c:w val="0.23398840769903786"/>
          <c:h val="0.29897145669291336"/>
        </c:manualLayout>
      </c:layout>
      <c:overlay val="0"/>
      <c:spPr>
        <a:noFill/>
        <a:ln w="25400">
          <a:noFill/>
        </a:ln>
      </c:spPr>
      <c:txPr>
        <a:bodyPr/>
        <a:lstStyle/>
        <a:p>
          <a:pPr>
            <a:defRPr sz="755" b="0" i="0" u="none" strike="noStrike" baseline="0">
              <a:solidFill>
                <a:srgbClr val="000000"/>
              </a:solidFill>
              <a:latin typeface="Geneva"/>
              <a:ea typeface="Geneva"/>
              <a:cs typeface="Geneva"/>
            </a:defRPr>
          </a:pPr>
          <a:endParaRPr lang="en-US"/>
        </a:p>
      </c:txPr>
    </c:legend>
    <c:plotVisOnly val="1"/>
    <c:dispBlanksAs val="zero"/>
    <c:showDLblsOverMax val="0"/>
  </c:chart>
  <c:spPr>
    <a:noFill/>
    <a:ln>
      <a:noFill/>
    </a:ln>
  </c:spPr>
  <c:txPr>
    <a:bodyPr/>
    <a:lstStyle/>
    <a:p>
      <a:pPr>
        <a:defRPr sz="825" b="0" i="0" u="none" strike="noStrike" baseline="0">
          <a:solidFill>
            <a:srgbClr val="000000"/>
          </a:solidFill>
          <a:latin typeface="Geneva"/>
          <a:ea typeface="Geneva"/>
          <a:cs typeface="Geneva"/>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
          <c:y val="0.12195121951219498"/>
          <c:w val="0.41969378827646542"/>
          <c:h val="0.62954068241469963"/>
        </c:manualLayout>
      </c:layout>
      <c:pieChart>
        <c:varyColors val="1"/>
        <c:ser>
          <c:idx val="0"/>
          <c:order val="0"/>
          <c:tx>
            <c:strRef>
              <c:f>Sheet1!$A$2</c:f>
              <c:strCache>
                <c:ptCount val="1"/>
                <c:pt idx="0">
                  <c:v>East</c:v>
                </c:pt>
              </c:strCache>
            </c:strRef>
          </c:tx>
          <c:spPr>
            <a:solidFill>
              <a:srgbClr val="63AAFE"/>
            </a:solidFill>
            <a:ln w="12700">
              <a:solidFill>
                <a:srgbClr val="000000"/>
              </a:solidFill>
              <a:prstDash val="solid"/>
            </a:ln>
            <a:effectLst>
              <a:outerShdw dist="35921" dir="2700000" algn="br">
                <a:srgbClr val="000000"/>
              </a:outerShdw>
            </a:effectLst>
          </c:spPr>
          <c:dPt>
            <c:idx val="1"/>
            <c:bubble3D val="0"/>
            <c:spPr>
              <a:solidFill>
                <a:srgbClr val="DD2D32"/>
              </a:solidFill>
              <a:ln w="12700">
                <a:solidFill>
                  <a:srgbClr val="000000"/>
                </a:solidFill>
                <a:prstDash val="solid"/>
              </a:ln>
              <a:effectLst>
                <a:outerShdw dist="35921" dir="2700000" algn="br">
                  <a:srgbClr val="000000"/>
                </a:outerShdw>
              </a:effectLst>
            </c:spPr>
          </c:dPt>
          <c:dPt>
            <c:idx val="2"/>
            <c:bubble3D val="0"/>
            <c:spPr>
              <a:solidFill>
                <a:srgbClr val="FFF58C"/>
              </a:solidFill>
              <a:ln w="12700">
                <a:solidFill>
                  <a:srgbClr val="000000"/>
                </a:solidFill>
                <a:prstDash val="solid"/>
              </a:ln>
              <a:effectLst>
                <a:outerShdw dist="35921" dir="2700000" algn="br">
                  <a:srgbClr val="000000"/>
                </a:outerShdw>
              </a:effectLst>
            </c:spPr>
          </c:dPt>
          <c:cat>
            <c:strRef>
              <c:f>Sheet1!$B$1:$D$1</c:f>
              <c:strCache>
                <c:ptCount val="3"/>
                <c:pt idx="0">
                  <c:v>better than</c:v>
                </c:pt>
                <c:pt idx="1">
                  <c:v>worse than</c:v>
                </c:pt>
                <c:pt idx="2">
                  <c:v>equal to</c:v>
                </c:pt>
              </c:strCache>
            </c:strRef>
          </c:cat>
          <c:val>
            <c:numRef>
              <c:f>Sheet1!$B$2:$D$2</c:f>
              <c:numCache>
                <c:formatCode>General</c:formatCode>
                <c:ptCount val="3"/>
                <c:pt idx="0">
                  <c:v>0.26</c:v>
                </c:pt>
                <c:pt idx="1">
                  <c:v>0.13</c:v>
                </c:pt>
                <c:pt idx="2">
                  <c:v>0.61000000000000065</c:v>
                </c:pt>
              </c:numCache>
            </c:numRef>
          </c:val>
        </c:ser>
        <c:dLbls>
          <c:showLegendKey val="0"/>
          <c:showVal val="0"/>
          <c:showCatName val="0"/>
          <c:showSerName val="0"/>
          <c:showPercent val="0"/>
          <c:showBubbleSize val="0"/>
          <c:showLeaderLines val="1"/>
        </c:dLbls>
        <c:firstSliceAng val="0"/>
      </c:pieChart>
      <c:spPr>
        <a:solidFill>
          <a:srgbClr val="CDCDCD"/>
        </a:solidFill>
        <a:ln w="12700">
          <a:solidFill>
            <a:srgbClr val="808080"/>
          </a:solidFill>
          <a:prstDash val="solid"/>
        </a:ln>
      </c:spPr>
    </c:plotArea>
    <c:legend>
      <c:legendPos val="r"/>
      <c:layout>
        <c:manualLayout>
          <c:xMode val="edge"/>
          <c:yMode val="edge"/>
          <c:x val="0.57692293671624351"/>
          <c:y val="0.39820483377077937"/>
          <c:w val="0.28365384615384631"/>
          <c:h val="0.30081300813008138"/>
        </c:manualLayout>
      </c:layout>
      <c:overlay val="0"/>
      <c:spPr>
        <a:noFill/>
        <a:ln w="25400">
          <a:noFill/>
        </a:ln>
      </c:spPr>
      <c:txPr>
        <a:bodyPr/>
        <a:lstStyle/>
        <a:p>
          <a:pPr>
            <a:defRPr sz="755" b="0" i="0" u="none" strike="noStrike" baseline="0">
              <a:solidFill>
                <a:srgbClr val="000000"/>
              </a:solidFill>
              <a:latin typeface="Geneva"/>
              <a:ea typeface="Geneva"/>
              <a:cs typeface="Geneva"/>
            </a:defRPr>
          </a:pPr>
          <a:endParaRPr lang="en-US"/>
        </a:p>
      </c:txPr>
    </c:legend>
    <c:plotVisOnly val="1"/>
    <c:dispBlanksAs val="zero"/>
    <c:showDLblsOverMax val="0"/>
  </c:chart>
  <c:spPr>
    <a:noFill/>
    <a:ln>
      <a:noFill/>
    </a:ln>
  </c:spPr>
  <c:txPr>
    <a:bodyPr/>
    <a:lstStyle/>
    <a:p>
      <a:pPr>
        <a:defRPr sz="825" b="0" i="0" u="none" strike="noStrike" baseline="0">
          <a:solidFill>
            <a:srgbClr val="000000"/>
          </a:solidFill>
          <a:latin typeface="Geneva"/>
          <a:ea typeface="Geneva"/>
          <a:cs typeface="Geneva"/>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72E10-DBBC-4FEC-84C5-F7453C7A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 Quality Assurance Office</dc:creator>
  <cp:keywords/>
  <dc:description/>
  <cp:lastModifiedBy>UCD Quality Office</cp:lastModifiedBy>
  <cp:revision>10</cp:revision>
  <cp:lastPrinted>2013-12-05T12:10:00Z</cp:lastPrinted>
  <dcterms:created xsi:type="dcterms:W3CDTF">2013-12-05T11:20:00Z</dcterms:created>
  <dcterms:modified xsi:type="dcterms:W3CDTF">2015-12-08T16:00:00Z</dcterms:modified>
</cp:coreProperties>
</file>