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CA3039" w14:textId="5841A172" w:rsidR="007C3213" w:rsidRPr="00027E61" w:rsidRDefault="007C3213" w:rsidP="00027E61">
      <w:pPr>
        <w:autoSpaceDE w:val="0"/>
        <w:autoSpaceDN w:val="0"/>
        <w:adjustRightInd w:val="0"/>
        <w:spacing w:after="120" w:line="271" w:lineRule="auto"/>
        <w:ind w:left="2160" w:hanging="2160"/>
        <w:jc w:val="center"/>
        <w:rPr>
          <w:rFonts w:cs="TimesNewRomanPSMT"/>
          <w:sz w:val="32"/>
          <w:szCs w:val="18"/>
        </w:rPr>
      </w:pPr>
      <w:proofErr w:type="spellStart"/>
      <w:r w:rsidRPr="00027E61">
        <w:rPr>
          <w:rFonts w:cs="TimesNewRomanPSMT"/>
          <w:sz w:val="32"/>
          <w:szCs w:val="18"/>
        </w:rPr>
        <w:t>DevelopMed</w:t>
      </w:r>
      <w:proofErr w:type="spellEnd"/>
    </w:p>
    <w:p w14:paraId="7FA8EC38" w14:textId="0FE2D5FF" w:rsidR="007C3213" w:rsidRPr="00027E61" w:rsidRDefault="007C3213" w:rsidP="007C3213">
      <w:pPr>
        <w:autoSpaceDE w:val="0"/>
        <w:autoSpaceDN w:val="0"/>
        <w:adjustRightInd w:val="0"/>
        <w:spacing w:after="120" w:line="271" w:lineRule="auto"/>
        <w:ind w:left="2160" w:hanging="2160"/>
        <w:jc w:val="center"/>
        <w:rPr>
          <w:rFonts w:cs="TimesNewRomanPSMT"/>
          <w:sz w:val="32"/>
          <w:szCs w:val="18"/>
        </w:rPr>
      </w:pPr>
      <w:r w:rsidRPr="00027E61">
        <w:rPr>
          <w:rFonts w:cs="TimesNewRomanPSMT"/>
          <w:sz w:val="32"/>
          <w:szCs w:val="18"/>
        </w:rPr>
        <w:t xml:space="preserve">Work Plan </w:t>
      </w:r>
      <w:r w:rsidR="00730936" w:rsidRPr="00027E61">
        <w:rPr>
          <w:rFonts w:cs="TimesNewRomanPSMT"/>
          <w:sz w:val="32"/>
          <w:szCs w:val="18"/>
        </w:rPr>
        <w:t>T</w:t>
      </w:r>
      <w:r w:rsidRPr="00027E61">
        <w:rPr>
          <w:rFonts w:cs="TimesNewRomanPSMT"/>
          <w:sz w:val="32"/>
          <w:szCs w:val="18"/>
        </w:rPr>
        <w:t>emplate</w:t>
      </w:r>
    </w:p>
    <w:p w14:paraId="25B06031" w14:textId="77777777" w:rsidR="007C3213" w:rsidRPr="00027E61" w:rsidRDefault="007C3213" w:rsidP="007C3213">
      <w:pPr>
        <w:autoSpaceDE w:val="0"/>
        <w:autoSpaceDN w:val="0"/>
        <w:adjustRightInd w:val="0"/>
        <w:spacing w:after="120" w:line="271" w:lineRule="auto"/>
        <w:rPr>
          <w:rFonts w:cs="TimesNewRomanPSMT"/>
        </w:rPr>
      </w:pPr>
      <w:r w:rsidRPr="00027E61">
        <w:rPr>
          <w:rFonts w:cs="TimesNewRomanPSMT"/>
        </w:rPr>
        <w:t xml:space="preserve">A Work Plan maps out what you will be doing over the course of your proposed research project, including the various aspects of your research as well as </w:t>
      </w:r>
      <w:proofErr w:type="gramStart"/>
      <w:r w:rsidRPr="00027E61">
        <w:rPr>
          <w:rFonts w:cs="TimesNewRomanPSMT"/>
        </w:rPr>
        <w:t>your</w:t>
      </w:r>
      <w:proofErr w:type="gramEnd"/>
      <w:r w:rsidRPr="00027E61">
        <w:rPr>
          <w:rFonts w:cs="TimesNewRomanPSMT"/>
        </w:rPr>
        <w:t xml:space="preserve"> training and career development. </w:t>
      </w:r>
    </w:p>
    <w:p w14:paraId="7A670C2B" w14:textId="702DBC7E" w:rsidR="007C3213" w:rsidRPr="00027E61" w:rsidRDefault="007C3213" w:rsidP="007C3213">
      <w:pPr>
        <w:autoSpaceDE w:val="0"/>
        <w:autoSpaceDN w:val="0"/>
        <w:adjustRightInd w:val="0"/>
        <w:spacing w:after="120" w:line="271" w:lineRule="auto"/>
        <w:rPr>
          <w:rFonts w:cs="TimesNewRomanPSMT"/>
        </w:rPr>
      </w:pPr>
      <w:r w:rsidRPr="00027E61">
        <w:rPr>
          <w:rFonts w:cs="TimesNewRomanPSMT"/>
        </w:rPr>
        <w:t xml:space="preserve">The project should be divided into suitable </w:t>
      </w:r>
      <w:r w:rsidRPr="00027E61">
        <w:rPr>
          <w:rFonts w:cs="TimesNewRomanPSMT"/>
          <w:i/>
        </w:rPr>
        <w:t>Work Packages</w:t>
      </w:r>
      <w:r w:rsidRPr="00027E61">
        <w:rPr>
          <w:rFonts w:cs="TimesNewRomanPSMT"/>
        </w:rPr>
        <w:t xml:space="preserve">, </w:t>
      </w:r>
      <w:r w:rsidR="00730936" w:rsidRPr="00027E61">
        <w:rPr>
          <w:rFonts w:cs="TimesNewRomanPSMT"/>
        </w:rPr>
        <w:t xml:space="preserve">wherein </w:t>
      </w:r>
      <w:r w:rsidRPr="00027E61">
        <w:rPr>
          <w:rFonts w:cs="TimesNewRomanPSMT"/>
        </w:rPr>
        <w:t>each work package</w:t>
      </w:r>
      <w:r w:rsidR="00730936" w:rsidRPr="00027E61">
        <w:rPr>
          <w:rFonts w:cs="TimesNewRomanPSMT"/>
        </w:rPr>
        <w:t xml:space="preserve"> should include </w:t>
      </w:r>
      <w:r w:rsidRPr="00027E61">
        <w:rPr>
          <w:rFonts w:cs="TimesNewRomanPSMT"/>
        </w:rPr>
        <w:t>a summary of its specific aims, tasks, deliverables (a measurable and tangible outcome of the project), milestones (checkpoints throughout the life of the project which identify when a notable point has been reached in the project) and timeline.</w:t>
      </w:r>
    </w:p>
    <w:p w14:paraId="740F48B1" w14:textId="77777777" w:rsidR="007C3213" w:rsidRPr="00027E61" w:rsidRDefault="007C3213" w:rsidP="007C3213">
      <w:pPr>
        <w:autoSpaceDE w:val="0"/>
        <w:autoSpaceDN w:val="0"/>
        <w:adjustRightInd w:val="0"/>
        <w:spacing w:after="120" w:line="271" w:lineRule="auto"/>
        <w:rPr>
          <w:rFonts w:cs="TimesNewRomanPSMT"/>
        </w:rPr>
      </w:pPr>
      <w:r w:rsidRPr="00027E61">
        <w:rPr>
          <w:rFonts w:cs="TimesNewRomanPSMT"/>
        </w:rPr>
        <w:t>Example Work Package:</w:t>
      </w:r>
    </w:p>
    <w:tbl>
      <w:tblPr>
        <w:tblStyle w:val="TableGrid"/>
        <w:tblW w:w="0" w:type="auto"/>
        <w:tblLook w:val="04A0" w:firstRow="1" w:lastRow="0" w:firstColumn="1" w:lastColumn="0" w:noHBand="0" w:noVBand="1"/>
      </w:tblPr>
      <w:tblGrid>
        <w:gridCol w:w="1794"/>
        <w:gridCol w:w="3689"/>
        <w:gridCol w:w="2069"/>
        <w:gridCol w:w="1464"/>
      </w:tblGrid>
      <w:tr w:rsidR="007C3213" w:rsidRPr="00027E61" w14:paraId="3DF25061" w14:textId="77777777" w:rsidTr="00EA0A5E">
        <w:trPr>
          <w:trHeight w:val="692"/>
        </w:trPr>
        <w:tc>
          <w:tcPr>
            <w:tcW w:w="1795" w:type="dxa"/>
          </w:tcPr>
          <w:p w14:paraId="0964B4E0" w14:textId="77777777" w:rsidR="007C3213" w:rsidRPr="00027E61" w:rsidRDefault="007C3213" w:rsidP="00EA0A5E">
            <w:pPr>
              <w:autoSpaceDE w:val="0"/>
              <w:autoSpaceDN w:val="0"/>
              <w:adjustRightInd w:val="0"/>
              <w:spacing w:line="271" w:lineRule="auto"/>
              <w:rPr>
                <w:rFonts w:cs="TimesNewRomanPSMT"/>
              </w:rPr>
            </w:pPr>
            <w:r w:rsidRPr="00027E61">
              <w:rPr>
                <w:rFonts w:cs="TimesNewRomanPSMT"/>
              </w:rPr>
              <w:t>Work Package number:</w:t>
            </w:r>
          </w:p>
        </w:tc>
        <w:tc>
          <w:tcPr>
            <w:tcW w:w="3690" w:type="dxa"/>
          </w:tcPr>
          <w:p w14:paraId="777BB18A" w14:textId="77777777" w:rsidR="007C3213" w:rsidRPr="00027E61" w:rsidRDefault="007C3213" w:rsidP="00EA0A5E">
            <w:pPr>
              <w:autoSpaceDE w:val="0"/>
              <w:autoSpaceDN w:val="0"/>
              <w:adjustRightInd w:val="0"/>
              <w:spacing w:line="271" w:lineRule="auto"/>
              <w:rPr>
                <w:rFonts w:cs="TimesNewRomanPSMT"/>
              </w:rPr>
            </w:pPr>
            <w:r w:rsidRPr="00027E61">
              <w:rPr>
                <w:rFonts w:cs="TimesNewRomanPSMT"/>
              </w:rPr>
              <w:t>1</w:t>
            </w:r>
          </w:p>
          <w:p w14:paraId="5F56F5DD" w14:textId="77777777" w:rsidR="007C3213" w:rsidRPr="00027E61" w:rsidRDefault="007C3213" w:rsidP="00EA0A5E">
            <w:pPr>
              <w:autoSpaceDE w:val="0"/>
              <w:autoSpaceDN w:val="0"/>
              <w:adjustRightInd w:val="0"/>
              <w:spacing w:line="271" w:lineRule="auto"/>
              <w:rPr>
                <w:rFonts w:cs="TimesNewRomanPSMT"/>
              </w:rPr>
            </w:pPr>
          </w:p>
        </w:tc>
        <w:tc>
          <w:tcPr>
            <w:tcW w:w="2070" w:type="dxa"/>
          </w:tcPr>
          <w:p w14:paraId="26230D82" w14:textId="77777777" w:rsidR="007C3213" w:rsidRPr="00027E61" w:rsidRDefault="007C3213" w:rsidP="00EA0A5E">
            <w:pPr>
              <w:autoSpaceDE w:val="0"/>
              <w:autoSpaceDN w:val="0"/>
              <w:adjustRightInd w:val="0"/>
              <w:spacing w:line="271" w:lineRule="auto"/>
              <w:rPr>
                <w:rFonts w:cs="TimesNewRomanPSMT"/>
              </w:rPr>
            </w:pPr>
            <w:r w:rsidRPr="00027E61">
              <w:rPr>
                <w:rFonts w:cs="TimesNewRomanPSMT"/>
              </w:rPr>
              <w:t>Start date:</w:t>
            </w:r>
          </w:p>
        </w:tc>
        <w:tc>
          <w:tcPr>
            <w:tcW w:w="1464" w:type="dxa"/>
          </w:tcPr>
          <w:p w14:paraId="29C9EF1F" w14:textId="77777777" w:rsidR="007C3213" w:rsidRPr="00027E61" w:rsidRDefault="007C3213" w:rsidP="00EA0A5E">
            <w:pPr>
              <w:autoSpaceDE w:val="0"/>
              <w:autoSpaceDN w:val="0"/>
              <w:adjustRightInd w:val="0"/>
              <w:spacing w:line="271" w:lineRule="auto"/>
              <w:rPr>
                <w:rFonts w:cs="TimesNewRomanPSMT"/>
              </w:rPr>
            </w:pPr>
            <w:r w:rsidRPr="00027E61">
              <w:rPr>
                <w:rFonts w:cs="TimesNewRomanPSMT"/>
              </w:rPr>
              <w:t>Month 1</w:t>
            </w:r>
          </w:p>
          <w:p w14:paraId="42E74942" w14:textId="77777777" w:rsidR="007C3213" w:rsidRPr="00027E61" w:rsidRDefault="007C3213" w:rsidP="00EA0A5E">
            <w:pPr>
              <w:autoSpaceDE w:val="0"/>
              <w:autoSpaceDN w:val="0"/>
              <w:adjustRightInd w:val="0"/>
              <w:spacing w:line="271" w:lineRule="auto"/>
              <w:rPr>
                <w:rFonts w:cs="TimesNewRomanPSMT"/>
              </w:rPr>
            </w:pPr>
          </w:p>
        </w:tc>
      </w:tr>
      <w:tr w:rsidR="007C3213" w:rsidRPr="00027E61" w14:paraId="5706519D" w14:textId="77777777" w:rsidTr="00EA0A5E">
        <w:tc>
          <w:tcPr>
            <w:tcW w:w="1795" w:type="dxa"/>
          </w:tcPr>
          <w:p w14:paraId="14026631" w14:textId="77777777" w:rsidR="007C3213" w:rsidRPr="00027E61" w:rsidRDefault="007C3213" w:rsidP="00EA0A5E">
            <w:pPr>
              <w:autoSpaceDE w:val="0"/>
              <w:autoSpaceDN w:val="0"/>
              <w:adjustRightInd w:val="0"/>
              <w:spacing w:line="271" w:lineRule="auto"/>
              <w:rPr>
                <w:rFonts w:cs="TimesNewRomanPSMT"/>
              </w:rPr>
            </w:pPr>
            <w:r w:rsidRPr="00027E61">
              <w:rPr>
                <w:rFonts w:cs="TimesNewRomanPSMT"/>
              </w:rPr>
              <w:t>Work Package Title:</w:t>
            </w:r>
          </w:p>
        </w:tc>
        <w:tc>
          <w:tcPr>
            <w:tcW w:w="3690" w:type="dxa"/>
          </w:tcPr>
          <w:p w14:paraId="3B172E2F" w14:textId="77777777" w:rsidR="007C3213" w:rsidRPr="00027E61" w:rsidRDefault="007C3213" w:rsidP="00EA0A5E">
            <w:pPr>
              <w:autoSpaceDE w:val="0"/>
              <w:autoSpaceDN w:val="0"/>
              <w:adjustRightInd w:val="0"/>
              <w:spacing w:line="271" w:lineRule="auto"/>
              <w:rPr>
                <w:rFonts w:cs="TimesNewRomanPSMT"/>
              </w:rPr>
            </w:pPr>
            <w:r w:rsidRPr="00027E61">
              <w:rPr>
                <w:rFonts w:cs="TimesNewRomanPSMT"/>
              </w:rPr>
              <w:t>Proteomic evaluation of BRAF binding partners</w:t>
            </w:r>
          </w:p>
        </w:tc>
        <w:tc>
          <w:tcPr>
            <w:tcW w:w="2070" w:type="dxa"/>
          </w:tcPr>
          <w:p w14:paraId="03538663" w14:textId="77777777" w:rsidR="007C3213" w:rsidRPr="00027E61" w:rsidRDefault="007C3213" w:rsidP="00EA0A5E">
            <w:pPr>
              <w:autoSpaceDE w:val="0"/>
              <w:autoSpaceDN w:val="0"/>
              <w:adjustRightInd w:val="0"/>
              <w:spacing w:line="271" w:lineRule="auto"/>
              <w:rPr>
                <w:rFonts w:cs="TimesNewRomanPSMT"/>
              </w:rPr>
            </w:pPr>
            <w:r w:rsidRPr="00027E61">
              <w:rPr>
                <w:rFonts w:cs="TimesNewRomanPSMT"/>
              </w:rPr>
              <w:t>End date:</w:t>
            </w:r>
          </w:p>
        </w:tc>
        <w:tc>
          <w:tcPr>
            <w:tcW w:w="1464" w:type="dxa"/>
          </w:tcPr>
          <w:p w14:paraId="3657381E" w14:textId="77777777" w:rsidR="007C3213" w:rsidRPr="00027E61" w:rsidRDefault="007C3213" w:rsidP="00EA0A5E">
            <w:pPr>
              <w:autoSpaceDE w:val="0"/>
              <w:autoSpaceDN w:val="0"/>
              <w:adjustRightInd w:val="0"/>
              <w:spacing w:line="271" w:lineRule="auto"/>
              <w:rPr>
                <w:rFonts w:cs="TimesNewRomanPSMT"/>
              </w:rPr>
            </w:pPr>
            <w:r w:rsidRPr="00027E61">
              <w:rPr>
                <w:rFonts w:cs="TimesNewRomanPSMT"/>
              </w:rPr>
              <w:t>Month 10</w:t>
            </w:r>
          </w:p>
          <w:p w14:paraId="4B109A90" w14:textId="77777777" w:rsidR="007C3213" w:rsidRPr="00027E61" w:rsidRDefault="007C3213" w:rsidP="00EA0A5E">
            <w:pPr>
              <w:autoSpaceDE w:val="0"/>
              <w:autoSpaceDN w:val="0"/>
              <w:adjustRightInd w:val="0"/>
              <w:spacing w:line="271" w:lineRule="auto"/>
              <w:rPr>
                <w:rFonts w:cs="TimesNewRomanPSMT"/>
              </w:rPr>
            </w:pPr>
          </w:p>
        </w:tc>
      </w:tr>
    </w:tbl>
    <w:p w14:paraId="2875E2EE" w14:textId="77777777" w:rsidR="007C3213" w:rsidRPr="00027E61" w:rsidRDefault="007C3213" w:rsidP="007C3213">
      <w:pPr>
        <w:autoSpaceDE w:val="0"/>
        <w:autoSpaceDN w:val="0"/>
        <w:adjustRightInd w:val="0"/>
        <w:spacing w:after="120" w:line="271" w:lineRule="auto"/>
        <w:rPr>
          <w:rFonts w:cs="TimesNewRomanPSMT"/>
        </w:rPr>
      </w:pPr>
    </w:p>
    <w:p w14:paraId="4D8F97B5" w14:textId="77777777" w:rsidR="007C3213" w:rsidRPr="00027E61" w:rsidRDefault="007C3213" w:rsidP="007C3213">
      <w:pPr>
        <w:autoSpaceDE w:val="0"/>
        <w:autoSpaceDN w:val="0"/>
        <w:adjustRightInd w:val="0"/>
        <w:spacing w:after="120" w:line="271" w:lineRule="auto"/>
        <w:rPr>
          <w:rFonts w:cs="TimesNewRomanPSMT"/>
        </w:rPr>
      </w:pPr>
      <w:r w:rsidRPr="00027E61">
        <w:rPr>
          <w:rFonts w:cs="TimesNewRomanPSMT"/>
          <w:b/>
        </w:rPr>
        <w:t xml:space="preserve">Objective: </w:t>
      </w:r>
      <w:r w:rsidRPr="00027E61">
        <w:rPr>
          <w:rFonts w:cs="TimesNewRomanPSMT"/>
        </w:rPr>
        <w:t xml:space="preserve">Cell lines generated in WP2 will be used as a platform to assess the binding partners of the various BRAF variants. </w:t>
      </w:r>
    </w:p>
    <w:p w14:paraId="18BBCD07" w14:textId="77777777" w:rsidR="007C3213" w:rsidRPr="00027E61" w:rsidRDefault="007C3213" w:rsidP="007C3213">
      <w:pPr>
        <w:autoSpaceDE w:val="0"/>
        <w:autoSpaceDN w:val="0"/>
        <w:adjustRightInd w:val="0"/>
        <w:spacing w:after="120" w:line="271" w:lineRule="auto"/>
        <w:rPr>
          <w:rFonts w:cs="TimesNewRomanPSMT"/>
          <w:b/>
        </w:rPr>
      </w:pPr>
      <w:r w:rsidRPr="00027E61">
        <w:rPr>
          <w:rFonts w:cs="TimesNewRomanPSMT"/>
          <w:b/>
        </w:rPr>
        <w:t xml:space="preserve">Description: </w:t>
      </w:r>
    </w:p>
    <w:p w14:paraId="77B549F3" w14:textId="77777777" w:rsidR="007C3213" w:rsidRPr="00027E61" w:rsidRDefault="007C3213" w:rsidP="007C3213">
      <w:pPr>
        <w:autoSpaceDE w:val="0"/>
        <w:autoSpaceDN w:val="0"/>
        <w:adjustRightInd w:val="0"/>
        <w:spacing w:after="120" w:line="271" w:lineRule="auto"/>
        <w:rPr>
          <w:rFonts w:cs="TimesNewRomanPSMT"/>
        </w:rPr>
      </w:pPr>
      <w:r w:rsidRPr="00027E61">
        <w:rPr>
          <w:rFonts w:cs="TimesNewRomanPSMT"/>
          <w:i/>
        </w:rPr>
        <w:t>Task 1.1: Test whether BRAF proteins have different interaction partners (Months 1-10):</w:t>
      </w:r>
      <w:r w:rsidRPr="00027E61">
        <w:rPr>
          <w:rFonts w:cs="TimesNewRomanPSMT"/>
        </w:rPr>
        <w:t xml:space="preserve"> </w:t>
      </w:r>
      <w:r w:rsidRPr="00027E61">
        <w:rPr>
          <w:rFonts w:cs="TimesNewRomanPSMT"/>
        </w:rPr>
        <w:br/>
        <w:t xml:space="preserve">Protein lysates will be extracted from cell clones expressing each BRAF variant. A single purification step will be carried out allowing isolation of BRAF-bound protein complexes in their native form with a high purity. Expected interactions will first be validated using IP and Western blotting (WB). </w:t>
      </w:r>
    </w:p>
    <w:p w14:paraId="00E2E944" w14:textId="77777777" w:rsidR="007C3213" w:rsidRPr="00027E61" w:rsidRDefault="007C3213" w:rsidP="007C3213">
      <w:pPr>
        <w:autoSpaceDE w:val="0"/>
        <w:autoSpaceDN w:val="0"/>
        <w:adjustRightInd w:val="0"/>
        <w:spacing w:after="120" w:line="271" w:lineRule="auto"/>
        <w:rPr>
          <w:rFonts w:cs="TimesNewRomanPSMT"/>
        </w:rPr>
      </w:pPr>
      <w:r w:rsidRPr="00027E61">
        <w:rPr>
          <w:rFonts w:cs="TimesNewRomanPSMT"/>
          <w:i/>
        </w:rPr>
        <w:t>Task 1.2: Test whether these proteins have different interaction partners after treatment with MAPK-pathway targeted therapies (Months 1-10):</w:t>
      </w:r>
      <w:r w:rsidRPr="00027E61">
        <w:rPr>
          <w:rFonts w:cs="TimesNewRomanPSMT"/>
        </w:rPr>
        <w:t xml:space="preserve"> </w:t>
      </w:r>
      <w:r w:rsidRPr="00027E61">
        <w:rPr>
          <w:rFonts w:cs="TimesNewRomanPSMT"/>
        </w:rPr>
        <w:br/>
        <w:t xml:space="preserve">The cell lines expressing the TAP-tagged BRAF variants will be treated with a clinically relevant dose of BRAFV600E-targeted inhibitor for 20 min, 1 hour, 3 hours and 9 hours, after which the protein extraction, purification and bioinformatic analysis protocol described above will be performed. Protein complexes will be evaluated to assess and map different proteomic interactions in cells expressing different BRAF variants before and after treatment with BRAFV600E-targeted inhibitors. </w:t>
      </w:r>
    </w:p>
    <w:p w14:paraId="1C1B7E18" w14:textId="77777777" w:rsidR="007C3213" w:rsidRPr="00027E61" w:rsidRDefault="007C3213" w:rsidP="007C3213">
      <w:pPr>
        <w:autoSpaceDE w:val="0"/>
        <w:autoSpaceDN w:val="0"/>
        <w:adjustRightInd w:val="0"/>
        <w:spacing w:after="120" w:line="271" w:lineRule="auto"/>
        <w:rPr>
          <w:rFonts w:cs="TimesNewRomanPSMT"/>
          <w:b/>
        </w:rPr>
      </w:pPr>
      <w:r w:rsidRPr="00027E61">
        <w:rPr>
          <w:rFonts w:cs="TimesNewRomanPSMT"/>
          <w:b/>
        </w:rPr>
        <w:t xml:space="preserve">Deliverables: </w:t>
      </w:r>
    </w:p>
    <w:p w14:paraId="65C10E86" w14:textId="77777777" w:rsidR="007C3213" w:rsidRPr="00027E61" w:rsidRDefault="007C3213" w:rsidP="007C3213">
      <w:pPr>
        <w:autoSpaceDE w:val="0"/>
        <w:autoSpaceDN w:val="0"/>
        <w:adjustRightInd w:val="0"/>
        <w:spacing w:after="120" w:line="271" w:lineRule="auto"/>
        <w:rPr>
          <w:rFonts w:cs="TimesNewRomanPSMT"/>
        </w:rPr>
      </w:pPr>
      <w:r w:rsidRPr="00027E61">
        <w:rPr>
          <w:rFonts w:cs="TimesNewRomanPSMT"/>
        </w:rPr>
        <w:t xml:space="preserve">D1.1 – Treatment of isogenic cell lines with BRAF inhibitors. </w:t>
      </w:r>
    </w:p>
    <w:p w14:paraId="3A570BAD" w14:textId="77777777" w:rsidR="007C3213" w:rsidRPr="00027E61" w:rsidRDefault="007C3213" w:rsidP="007C3213">
      <w:pPr>
        <w:autoSpaceDE w:val="0"/>
        <w:autoSpaceDN w:val="0"/>
        <w:adjustRightInd w:val="0"/>
        <w:spacing w:after="120" w:line="271" w:lineRule="auto"/>
        <w:rPr>
          <w:rFonts w:cs="TimesNewRomanPSMT"/>
        </w:rPr>
      </w:pPr>
      <w:r w:rsidRPr="00027E61">
        <w:rPr>
          <w:rFonts w:cs="TimesNewRomanPSMT"/>
        </w:rPr>
        <w:t xml:space="preserve">D1.2 – Validation of selected PPIs in BRAF-V5 </w:t>
      </w:r>
      <w:proofErr w:type="spellStart"/>
      <w:r w:rsidRPr="00027E61">
        <w:rPr>
          <w:rFonts w:cs="TimesNewRomanPSMT"/>
        </w:rPr>
        <w:t>immunoprecipitates</w:t>
      </w:r>
      <w:proofErr w:type="spellEnd"/>
      <w:r w:rsidRPr="00027E61">
        <w:rPr>
          <w:rFonts w:cs="TimesNewRomanPSMT"/>
        </w:rPr>
        <w:t xml:space="preserve"> using IP and </w:t>
      </w:r>
      <w:proofErr w:type="gramStart"/>
      <w:r w:rsidRPr="00027E61">
        <w:rPr>
          <w:rFonts w:cs="TimesNewRomanPSMT"/>
        </w:rPr>
        <w:t>WB</w:t>
      </w:r>
      <w:proofErr w:type="gramEnd"/>
    </w:p>
    <w:p w14:paraId="3867B7AD" w14:textId="77777777" w:rsidR="007C3213" w:rsidRPr="00027E61" w:rsidRDefault="007C3213" w:rsidP="007C3213">
      <w:pPr>
        <w:autoSpaceDE w:val="0"/>
        <w:autoSpaceDN w:val="0"/>
        <w:adjustRightInd w:val="0"/>
        <w:spacing w:after="120" w:line="271" w:lineRule="auto"/>
        <w:rPr>
          <w:rFonts w:cs="TimesNewRomanPSMT"/>
          <w:b/>
        </w:rPr>
      </w:pPr>
      <w:r w:rsidRPr="00027E61">
        <w:rPr>
          <w:rFonts w:cs="TimesNewRomanPSMT"/>
          <w:b/>
        </w:rPr>
        <w:t>Milestones:</w:t>
      </w:r>
    </w:p>
    <w:p w14:paraId="7DFE3ACA" w14:textId="77777777" w:rsidR="007C3213" w:rsidRPr="00027E61" w:rsidRDefault="007C3213" w:rsidP="007C3213">
      <w:pPr>
        <w:autoSpaceDE w:val="0"/>
        <w:autoSpaceDN w:val="0"/>
        <w:adjustRightInd w:val="0"/>
        <w:spacing w:after="120" w:line="271" w:lineRule="auto"/>
        <w:rPr>
          <w:rFonts w:cs="TimesNewRomanPSMT"/>
        </w:rPr>
      </w:pPr>
      <w:r w:rsidRPr="00027E61">
        <w:rPr>
          <w:rFonts w:cs="TimesNewRomanPSMT"/>
        </w:rPr>
        <w:t>M1.1 – Identification of protein subcomplexes that specifically bind to BRAFWT, BRAFV600E and p61BRAFV600E</w:t>
      </w:r>
    </w:p>
    <w:p w14:paraId="1D225A83" w14:textId="77777777" w:rsidR="007C3213" w:rsidRPr="00027E61" w:rsidRDefault="007C3213" w:rsidP="007C3213">
      <w:pPr>
        <w:autoSpaceDE w:val="0"/>
        <w:autoSpaceDN w:val="0"/>
        <w:adjustRightInd w:val="0"/>
        <w:spacing w:after="120" w:line="271" w:lineRule="auto"/>
        <w:rPr>
          <w:rFonts w:cs="TimesNewRomanPSMT"/>
        </w:rPr>
      </w:pPr>
      <w:r w:rsidRPr="00027E61">
        <w:rPr>
          <w:rFonts w:cs="TimesNewRomanPSMT"/>
        </w:rPr>
        <w:t>M1.2 – Validation of selected BRAF-protein interactions</w:t>
      </w:r>
    </w:p>
    <w:p w14:paraId="38BE7441" w14:textId="77777777" w:rsidR="00DB4E60" w:rsidRPr="00027E61" w:rsidRDefault="00DB4E60"/>
    <w:sectPr w:rsidR="00DB4E60" w:rsidRPr="00027E61">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4F9D2B" w14:textId="77777777" w:rsidR="003061B8" w:rsidRDefault="003061B8" w:rsidP="00AA0DB5">
      <w:pPr>
        <w:spacing w:after="0" w:line="240" w:lineRule="auto"/>
      </w:pPr>
      <w:r>
        <w:separator/>
      </w:r>
    </w:p>
  </w:endnote>
  <w:endnote w:type="continuationSeparator" w:id="0">
    <w:p w14:paraId="206C1307" w14:textId="77777777" w:rsidR="003061B8" w:rsidRDefault="003061B8" w:rsidP="00AA0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TimesNewRomanPSMT">
    <w:panose1 w:val="00000000000000000000"/>
    <w:charset w:val="00"/>
    <w:family w:val="auto"/>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FAF60C" w14:textId="77777777" w:rsidR="003061B8" w:rsidRDefault="003061B8" w:rsidP="00AA0DB5">
      <w:pPr>
        <w:spacing w:after="0" w:line="240" w:lineRule="auto"/>
      </w:pPr>
      <w:r>
        <w:separator/>
      </w:r>
    </w:p>
  </w:footnote>
  <w:footnote w:type="continuationSeparator" w:id="0">
    <w:p w14:paraId="4F869A4F" w14:textId="77777777" w:rsidR="003061B8" w:rsidRDefault="003061B8" w:rsidP="00AA0D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4247EE" w14:textId="33CE6419" w:rsidR="00AA0DB5" w:rsidRDefault="00027E61">
    <w:pPr>
      <w:pStyle w:val="Header"/>
    </w:pPr>
    <w:r w:rsidRPr="00CD0375">
      <w:rPr>
        <w:noProof/>
      </w:rPr>
      <w:drawing>
        <wp:anchor distT="0" distB="0" distL="114300" distR="114300" simplePos="0" relativeHeight="251659264" behindDoc="1" locked="0" layoutInCell="1" allowOverlap="1" wp14:anchorId="5DBCC4DC" wp14:editId="6914E9C7">
          <wp:simplePos x="0" y="0"/>
          <wp:positionH relativeFrom="margin">
            <wp:posOffset>2187938</wp:posOffset>
          </wp:positionH>
          <wp:positionV relativeFrom="paragraph">
            <wp:posOffset>-410210</wp:posOffset>
          </wp:positionV>
          <wp:extent cx="1446530" cy="870585"/>
          <wp:effectExtent l="0" t="0" r="1270" b="5715"/>
          <wp:wrapTight wrapText="bothSides">
            <wp:wrapPolygon edited="0">
              <wp:start x="0" y="0"/>
              <wp:lineTo x="0" y="21269"/>
              <wp:lineTo x="21335" y="21269"/>
              <wp:lineTo x="21335" y="0"/>
              <wp:lineTo x="0" y="0"/>
            </wp:wrapPolygon>
          </wp:wrapTight>
          <wp:docPr id="5" name="Picture 4">
            <a:extLst xmlns:a="http://schemas.openxmlformats.org/drawingml/2006/main">
              <a:ext uri="{FF2B5EF4-FFF2-40B4-BE49-F238E27FC236}">
                <a16:creationId xmlns:a16="http://schemas.microsoft.com/office/drawing/2014/main" id="{65E46164-7EA1-4CCD-AD92-28766301651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65E46164-7EA1-4CCD-AD92-28766301651E}"/>
                      </a:ext>
                    </a:extLst>
                  </pic:cNvPr>
                  <pic:cNvPicPr>
                    <a:picLocks noChangeAspect="1"/>
                  </pic:cNvPicPr>
                </pic:nvPicPr>
                <pic:blipFill rotWithShape="1">
                  <a:blip r:embed="rId1"/>
                  <a:srcRect l="29999" t="28412" r="18125" b="16032"/>
                  <a:stretch/>
                </pic:blipFill>
                <pic:spPr>
                  <a:xfrm>
                    <a:off x="0" y="0"/>
                    <a:ext cx="1446530" cy="870585"/>
                  </a:xfrm>
                  <a:prstGeom prst="rect">
                    <a:avLst/>
                  </a:prstGeom>
                </pic:spPr>
              </pic:pic>
            </a:graphicData>
          </a:graphic>
          <wp14:sizeRelH relativeFrom="margin">
            <wp14:pctWidth>0</wp14:pctWidth>
          </wp14:sizeRelH>
          <wp14:sizeRelV relativeFrom="margin">
            <wp14:pctHeight>0</wp14:pctHeight>
          </wp14:sizeRelV>
        </wp:anchor>
      </w:drawing>
    </w:r>
    <w:r w:rsidR="00AA0DB5">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213"/>
    <w:rsid w:val="00027E61"/>
    <w:rsid w:val="003061B8"/>
    <w:rsid w:val="00512E56"/>
    <w:rsid w:val="00522460"/>
    <w:rsid w:val="007179FC"/>
    <w:rsid w:val="00730936"/>
    <w:rsid w:val="007C3213"/>
    <w:rsid w:val="00AA0DB5"/>
    <w:rsid w:val="00B560C5"/>
    <w:rsid w:val="00D94470"/>
    <w:rsid w:val="00DB4E60"/>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CD8F9F"/>
  <w15:docId w15:val="{F2BC39F7-2059-4F15-B183-4D6ECFC54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213"/>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321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A0D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0DB5"/>
    <w:rPr>
      <w:lang w:val="en-US"/>
    </w:rPr>
  </w:style>
  <w:style w:type="paragraph" w:styleId="Footer">
    <w:name w:val="footer"/>
    <w:basedOn w:val="Normal"/>
    <w:link w:val="FooterChar"/>
    <w:uiPriority w:val="99"/>
    <w:unhideWhenUsed/>
    <w:rsid w:val="00AA0D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0DB5"/>
    <w:rPr>
      <w:lang w:val="en-US"/>
    </w:rPr>
  </w:style>
  <w:style w:type="paragraph" w:styleId="BalloonText">
    <w:name w:val="Balloon Text"/>
    <w:basedOn w:val="Normal"/>
    <w:link w:val="BalloonTextChar"/>
    <w:uiPriority w:val="99"/>
    <w:semiHidden/>
    <w:unhideWhenUsed/>
    <w:rsid w:val="0073093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30936"/>
    <w:rPr>
      <w:rFonts w:ascii="Lucida Grande" w:hAnsi="Lucida Grande" w:cs="Lucida Grande"/>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332</Words>
  <Characters>1895</Characters>
  <Application>Microsoft Office Word</Application>
  <DocSecurity>0</DocSecurity>
  <Lines>15</Lines>
  <Paragraphs>4</Paragraphs>
  <ScaleCrop>false</ScaleCrop>
  <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shauna.byrne@ucd.ie</dc:creator>
  <cp:keywords/>
  <dc:description/>
  <cp:lastModifiedBy>shauna.byrne@ucd.ie</cp:lastModifiedBy>
  <cp:revision>3</cp:revision>
  <cp:lastPrinted>2020-12-17T17:14:00Z</cp:lastPrinted>
  <dcterms:created xsi:type="dcterms:W3CDTF">2020-12-17T14:08:00Z</dcterms:created>
  <dcterms:modified xsi:type="dcterms:W3CDTF">2020-12-17T17:15:00Z</dcterms:modified>
</cp:coreProperties>
</file>