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649427" cy="859536"/>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49427" cy="8595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UCD </w:t>
      </w:r>
      <w:r w:rsidDel="00000000" w:rsidR="00000000" w:rsidRPr="00000000">
        <w:rPr>
          <w:i w:val="1"/>
          <w:rtl w:val="0"/>
        </w:rPr>
        <w:t xml:space="preserve">Academic Council Committee for Academic Scholarships and Prizes</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Summary of meeting of 19 October 2022</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685"/>
          <w:tab w:val="left" w:pos="686"/>
        </w:tabs>
        <w:spacing w:after="0" w:before="0" w:line="240" w:lineRule="auto"/>
        <w:ind w:left="685" w:right="463" w:hanging="56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ACCASP noted the approval of the minutes of the meeting held on 22 June 2022.</w:t>
      </w:r>
    </w:p>
    <w:p w:rsidR="00000000" w:rsidDel="00000000" w:rsidP="00000000" w:rsidRDefault="00000000" w:rsidRPr="00000000" w14:paraId="00000006">
      <w:pPr>
        <w:tabs>
          <w:tab w:val="left" w:pos="685"/>
          <w:tab w:val="left" w:pos="686"/>
        </w:tabs>
        <w:ind w:right="463"/>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685"/>
          <w:tab w:val="left" w:pos="686"/>
        </w:tabs>
        <w:spacing w:after="0" w:before="0" w:line="240" w:lineRule="auto"/>
        <w:ind w:left="685" w:right="463" w:hanging="56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ACCASP noted the composition of the new ACCASP committee in line with changes to Academic Council and noted the co-option of one UCD Foundation representative for the current Academic Year.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685"/>
          <w:tab w:val="left" w:pos="686"/>
        </w:tabs>
        <w:spacing w:after="0" w:before="0" w:line="240" w:lineRule="auto"/>
        <w:ind w:left="685" w:right="463" w:hanging="56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ACCASP discussed the Annual Report for 2021/22 and noted positive feedback from Academic Council.</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4" w:right="0" w:hanging="56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685"/>
          <w:tab w:val="left" w:pos="686"/>
        </w:tabs>
        <w:spacing w:after="0" w:before="0" w:line="240" w:lineRule="auto"/>
        <w:ind w:left="685" w:right="463" w:hanging="56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ACCASP approved the Work Plan for 2022/23.</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85"/>
          <w:tab w:val="left" w:pos="686"/>
        </w:tabs>
        <w:spacing w:after="0" w:before="0" w:line="240" w:lineRule="auto"/>
        <w:ind w:left="685" w:right="46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685"/>
          <w:tab w:val="left" w:pos="686"/>
        </w:tabs>
        <w:spacing w:after="0" w:before="0" w:line="240" w:lineRule="auto"/>
        <w:ind w:left="685" w:right="463" w:hanging="56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ACCASP approved 2 new award proposals from the following Colleges/Schools subject to minor clarifications:</w:t>
      </w:r>
    </w:p>
    <w:p w:rsidR="00000000" w:rsidDel="00000000" w:rsidP="00000000" w:rsidRDefault="00000000" w:rsidRPr="00000000" w14:paraId="0000000E">
      <w:pPr>
        <w:tabs>
          <w:tab w:val="left" w:pos="685"/>
          <w:tab w:val="left" w:pos="686"/>
        </w:tabs>
        <w:ind w:right="463"/>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685"/>
          <w:tab w:val="left" w:pos="686"/>
        </w:tabs>
        <w:spacing w:after="0" w:before="0" w:line="240" w:lineRule="auto"/>
        <w:ind w:left="1410" w:right="463"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College of Science (Sustainability)</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685"/>
          <w:tab w:val="left" w:pos="686"/>
        </w:tabs>
        <w:spacing w:after="0" w:before="0" w:line="240" w:lineRule="auto"/>
        <w:ind w:left="1410" w:right="463"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of Chemical and Bioprocess Engineering (SCBE)</w:t>
      </w:r>
      <w:r w:rsidDel="00000000" w:rsidR="00000000" w:rsidRPr="00000000">
        <w:rPr>
          <w:rtl w:val="0"/>
        </w:rPr>
      </w:r>
    </w:p>
    <w:p w:rsidR="00000000" w:rsidDel="00000000" w:rsidP="00000000" w:rsidRDefault="00000000" w:rsidRPr="00000000" w14:paraId="00000011">
      <w:pPr>
        <w:tabs>
          <w:tab w:val="left" w:pos="685"/>
          <w:tab w:val="left" w:pos="686"/>
        </w:tabs>
        <w:ind w:right="463"/>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685"/>
          <w:tab w:val="left" w:pos="686"/>
        </w:tabs>
        <w:spacing w:after="0" w:before="0" w:line="240" w:lineRule="auto"/>
        <w:ind w:left="685" w:right="463" w:hanging="56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ACCASP noted the Conflict of Interest Policy, the AC Standing Orders, and the GDPR Summary.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85"/>
          <w:tab w:val="left" w:pos="686"/>
        </w:tabs>
        <w:spacing w:after="0" w:before="0" w:line="240" w:lineRule="auto"/>
        <w:ind w:left="1410" w:right="46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tabs>
          <w:tab w:val="left" w:pos="685"/>
          <w:tab w:val="left" w:pos="686"/>
        </w:tabs>
        <w:ind w:right="463"/>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4" w:right="0" w:hanging="56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tabs>
          <w:tab w:val="left" w:pos="685"/>
          <w:tab w:val="left" w:pos="686"/>
        </w:tabs>
        <w:ind w:right="463"/>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4" w:right="0" w:hanging="56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4" w:right="0" w:hanging="56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4" w:right="0" w:hanging="56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4" w:right="0" w:hanging="56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spacing w:before="190" w:lineRule="auto"/>
        <w:ind w:left="119" w:right="27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NOTE: This is an informal summary of an</w:t>
      </w:r>
      <w:r w:rsidDel="00000000" w:rsidR="00000000" w:rsidRPr="00000000">
        <w:rPr>
          <w:rFonts w:ascii="Arial" w:cs="Arial" w:eastAsia="Arial" w:hAnsi="Arial"/>
          <w:b w:val="1"/>
          <w:i w:val="1"/>
          <w:sz w:val="20"/>
          <w:szCs w:val="20"/>
          <w:rtl w:val="0"/>
        </w:rPr>
        <w:t xml:space="preserve"> </w:t>
      </w:r>
      <w:r w:rsidDel="00000000" w:rsidR="00000000" w:rsidRPr="00000000">
        <w:rPr>
          <w:rFonts w:ascii="Arial" w:cs="Arial" w:eastAsia="Arial" w:hAnsi="Arial"/>
          <w:i w:val="1"/>
          <w:sz w:val="20"/>
          <w:szCs w:val="20"/>
          <w:rtl w:val="0"/>
        </w:rPr>
        <w:t xml:space="preserve">Academic Council Committee for Academic Scholarships and Prizes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meeting. It does not in any way prejudice the official minutes of the meeting, which will be presented to the next ordinary meeting of the Committee and which are the sole authoritative record of </w:t>
      </w:r>
      <w:r w:rsidDel="00000000" w:rsidR="00000000" w:rsidRPr="00000000">
        <w:rPr>
          <w:rFonts w:ascii="Arial" w:cs="Arial" w:eastAsia="Arial" w:hAnsi="Arial"/>
          <w:i w:val="1"/>
          <w:sz w:val="20"/>
          <w:szCs w:val="20"/>
          <w:rtl w:val="0"/>
        </w:rPr>
        <w:t xml:space="preserve">Academic Council Committee for Academic Scholarships and Prizes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business.</w:t>
      </w:r>
    </w:p>
    <w:p w:rsidR="00000000" w:rsidDel="00000000" w:rsidP="00000000" w:rsidRDefault="00000000" w:rsidRPr="00000000" w14:paraId="0000001E">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10" w:orient="portrait"/>
      <w:pgMar w:bottom="280" w:top="1080" w:left="1460" w:right="14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85" w:hanging="567"/>
      </w:pPr>
      <w:rPr>
        <w:rFonts w:ascii="Calibri" w:cs="Calibri" w:eastAsia="Calibri" w:hAnsi="Calibri"/>
        <w:sz w:val="22"/>
        <w:szCs w:val="22"/>
      </w:rPr>
    </w:lvl>
    <w:lvl w:ilvl="1">
      <w:start w:val="0"/>
      <w:numFmt w:val="bullet"/>
      <w:lvlText w:val="•"/>
      <w:lvlJc w:val="left"/>
      <w:pPr>
        <w:ind w:left="1508" w:hanging="566.9999999999999"/>
      </w:pPr>
      <w:rPr/>
    </w:lvl>
    <w:lvl w:ilvl="2">
      <w:start w:val="0"/>
      <w:numFmt w:val="bullet"/>
      <w:lvlText w:val="•"/>
      <w:lvlJc w:val="left"/>
      <w:pPr>
        <w:ind w:left="2337" w:hanging="567"/>
      </w:pPr>
      <w:rPr/>
    </w:lvl>
    <w:lvl w:ilvl="3">
      <w:start w:val="0"/>
      <w:numFmt w:val="bullet"/>
      <w:lvlText w:val="•"/>
      <w:lvlJc w:val="left"/>
      <w:pPr>
        <w:ind w:left="3166" w:hanging="566.9999999999995"/>
      </w:pPr>
      <w:rPr/>
    </w:lvl>
    <w:lvl w:ilvl="4">
      <w:start w:val="0"/>
      <w:numFmt w:val="bullet"/>
      <w:lvlText w:val="•"/>
      <w:lvlJc w:val="left"/>
      <w:pPr>
        <w:ind w:left="3995" w:hanging="567"/>
      </w:pPr>
      <w:rPr/>
    </w:lvl>
    <w:lvl w:ilvl="5">
      <w:start w:val="0"/>
      <w:numFmt w:val="bullet"/>
      <w:lvlText w:val="•"/>
      <w:lvlJc w:val="left"/>
      <w:pPr>
        <w:ind w:left="4824" w:hanging="567"/>
      </w:pPr>
      <w:rPr/>
    </w:lvl>
    <w:lvl w:ilvl="6">
      <w:start w:val="0"/>
      <w:numFmt w:val="bullet"/>
      <w:lvlText w:val="•"/>
      <w:lvlJc w:val="left"/>
      <w:pPr>
        <w:ind w:left="5653" w:hanging="567"/>
      </w:pPr>
      <w:rPr/>
    </w:lvl>
    <w:lvl w:ilvl="7">
      <w:start w:val="0"/>
      <w:numFmt w:val="bullet"/>
      <w:lvlText w:val="•"/>
      <w:lvlJc w:val="left"/>
      <w:pPr>
        <w:ind w:left="6482" w:hanging="567"/>
      </w:pPr>
      <w:rPr/>
    </w:lvl>
    <w:lvl w:ilvl="8">
      <w:start w:val="0"/>
      <w:numFmt w:val="bullet"/>
      <w:lvlText w:val="•"/>
      <w:lvlJc w:val="left"/>
      <w:pPr>
        <w:ind w:left="7311" w:hanging="567"/>
      </w:pPr>
      <w:rPr/>
    </w:lvl>
  </w:abstractNum>
  <w:abstractNum w:abstractNumId="2">
    <w:lvl w:ilvl="0">
      <w:start w:val="1"/>
      <w:numFmt w:val="bullet"/>
      <w:lvlText w:val="o"/>
      <w:lvlJc w:val="left"/>
      <w:pPr>
        <w:ind w:left="1410" w:hanging="360"/>
      </w:pPr>
      <w:rPr>
        <w:rFonts w:ascii="Courier New" w:cs="Courier New" w:eastAsia="Courier New" w:hAnsi="Courier New"/>
      </w:rPr>
    </w:lvl>
    <w:lvl w:ilvl="1">
      <w:start w:val="1"/>
      <w:numFmt w:val="bullet"/>
      <w:lvlText w:val="o"/>
      <w:lvlJc w:val="left"/>
      <w:pPr>
        <w:ind w:left="2130" w:hanging="360"/>
      </w:pPr>
      <w:rPr>
        <w:rFonts w:ascii="Courier New" w:cs="Courier New" w:eastAsia="Courier New" w:hAnsi="Courier New"/>
      </w:rPr>
    </w:lvl>
    <w:lvl w:ilvl="2">
      <w:start w:val="1"/>
      <w:numFmt w:val="bullet"/>
      <w:lvlText w:val="▪"/>
      <w:lvlJc w:val="left"/>
      <w:pPr>
        <w:ind w:left="2850" w:hanging="360"/>
      </w:pPr>
      <w:rPr>
        <w:rFonts w:ascii="Noto Sans Symbols" w:cs="Noto Sans Symbols" w:eastAsia="Noto Sans Symbols" w:hAnsi="Noto Sans Symbols"/>
      </w:rPr>
    </w:lvl>
    <w:lvl w:ilvl="3">
      <w:start w:val="1"/>
      <w:numFmt w:val="bullet"/>
      <w:lvlText w:val="●"/>
      <w:lvlJc w:val="left"/>
      <w:pPr>
        <w:ind w:left="3570" w:hanging="360"/>
      </w:pPr>
      <w:rPr>
        <w:rFonts w:ascii="Noto Sans Symbols" w:cs="Noto Sans Symbols" w:eastAsia="Noto Sans Symbols" w:hAnsi="Noto Sans Symbols"/>
      </w:rPr>
    </w:lvl>
    <w:lvl w:ilvl="4">
      <w:start w:val="1"/>
      <w:numFmt w:val="bullet"/>
      <w:lvlText w:val="o"/>
      <w:lvlJc w:val="left"/>
      <w:pPr>
        <w:ind w:left="4290" w:hanging="360"/>
      </w:pPr>
      <w:rPr>
        <w:rFonts w:ascii="Courier New" w:cs="Courier New" w:eastAsia="Courier New" w:hAnsi="Courier New"/>
      </w:rPr>
    </w:lvl>
    <w:lvl w:ilvl="5">
      <w:start w:val="1"/>
      <w:numFmt w:val="bullet"/>
      <w:lvlText w:val="▪"/>
      <w:lvlJc w:val="left"/>
      <w:pPr>
        <w:ind w:left="5010" w:hanging="360"/>
      </w:pPr>
      <w:rPr>
        <w:rFonts w:ascii="Noto Sans Symbols" w:cs="Noto Sans Symbols" w:eastAsia="Noto Sans Symbols" w:hAnsi="Noto Sans Symbols"/>
      </w:rPr>
    </w:lvl>
    <w:lvl w:ilvl="6">
      <w:start w:val="1"/>
      <w:numFmt w:val="bullet"/>
      <w:lvlText w:val="●"/>
      <w:lvlJc w:val="left"/>
      <w:pPr>
        <w:ind w:left="5730" w:hanging="360"/>
      </w:pPr>
      <w:rPr>
        <w:rFonts w:ascii="Noto Sans Symbols" w:cs="Noto Sans Symbols" w:eastAsia="Noto Sans Symbols" w:hAnsi="Noto Sans Symbols"/>
      </w:rPr>
    </w:lvl>
    <w:lvl w:ilvl="7">
      <w:start w:val="1"/>
      <w:numFmt w:val="bullet"/>
      <w:lvlText w:val="o"/>
      <w:lvlJc w:val="left"/>
      <w:pPr>
        <w:ind w:left="6450" w:hanging="360"/>
      </w:pPr>
      <w:rPr>
        <w:rFonts w:ascii="Courier New" w:cs="Courier New" w:eastAsia="Courier New" w:hAnsi="Courier New"/>
      </w:rPr>
    </w:lvl>
    <w:lvl w:ilvl="8">
      <w:start w:val="1"/>
      <w:numFmt w:val="bullet"/>
      <w:lvlText w:val="▪"/>
      <w:lvlJc w:val="left"/>
      <w:pPr>
        <w:ind w:left="717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D747B"/>
    <w:pPr>
      <w:widowControl w:val="0"/>
      <w:autoSpaceDE w:val="0"/>
      <w:autoSpaceDN w:val="0"/>
      <w:spacing w:after="0" w:line="240" w:lineRule="auto"/>
    </w:pPr>
    <w:rPr>
      <w:rFonts w:ascii="Calibri" w:cs="Calibri" w:eastAsia="Calibri" w:hAnsi="Calibri"/>
      <w:lang w:bidi="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sid w:val="00AD747B"/>
  </w:style>
  <w:style w:type="character" w:styleId="BodyTextChar" w:customStyle="1">
    <w:name w:val="Body Text Char"/>
    <w:basedOn w:val="DefaultParagraphFont"/>
    <w:link w:val="BodyText"/>
    <w:uiPriority w:val="1"/>
    <w:rsid w:val="00AD747B"/>
    <w:rPr>
      <w:rFonts w:ascii="Calibri" w:cs="Calibri" w:eastAsia="Calibri" w:hAnsi="Calibri"/>
      <w:lang w:bidi="en-US" w:val="en-US"/>
    </w:rPr>
  </w:style>
  <w:style w:type="paragraph" w:styleId="ListParagraph">
    <w:name w:val="List Paragraph"/>
    <w:basedOn w:val="Normal"/>
    <w:uiPriority w:val="1"/>
    <w:qFormat w:val="1"/>
    <w:rsid w:val="00AD747B"/>
    <w:pPr>
      <w:ind w:left="684" w:hanging="566"/>
    </w:pPr>
  </w:style>
  <w:style w:type="paragraph" w:styleId="NormalWeb">
    <w:name w:val="Normal (Web)"/>
    <w:basedOn w:val="Normal"/>
    <w:uiPriority w:val="99"/>
    <w:unhideWhenUsed w:val="1"/>
    <w:rsid w:val="00AD747B"/>
    <w:pPr>
      <w:widowControl w:val="1"/>
      <w:autoSpaceDE w:val="1"/>
      <w:autoSpaceDN w:val="1"/>
      <w:spacing w:after="100" w:afterAutospacing="1" w:before="100" w:beforeAutospacing="1"/>
    </w:pPr>
    <w:rPr>
      <w:rFonts w:ascii="Times New Roman" w:cs="Times New Roman" w:eastAsia="Times New Roman" w:hAnsi="Times New Roman"/>
      <w:sz w:val="24"/>
      <w:szCs w:val="24"/>
      <w:lang w:bidi="ar-SA" w:eastAsia="en-IE" w:val="en-IE"/>
    </w:rPr>
  </w:style>
  <w:style w:type="paragraph" w:styleId="Header">
    <w:name w:val="header"/>
    <w:basedOn w:val="Normal"/>
    <w:link w:val="HeaderChar"/>
    <w:uiPriority w:val="99"/>
    <w:unhideWhenUsed w:val="1"/>
    <w:rsid w:val="00752D4B"/>
    <w:pPr>
      <w:tabs>
        <w:tab w:val="center" w:pos="4513"/>
        <w:tab w:val="right" w:pos="9026"/>
      </w:tabs>
    </w:pPr>
  </w:style>
  <w:style w:type="character" w:styleId="HeaderChar" w:customStyle="1">
    <w:name w:val="Header Char"/>
    <w:basedOn w:val="DefaultParagraphFont"/>
    <w:link w:val="Header"/>
    <w:uiPriority w:val="99"/>
    <w:rsid w:val="00752D4B"/>
    <w:rPr>
      <w:rFonts w:ascii="Calibri" w:cs="Calibri" w:eastAsia="Calibri" w:hAnsi="Calibri"/>
      <w:lang w:bidi="en-US" w:val="en-US"/>
    </w:rPr>
  </w:style>
  <w:style w:type="paragraph" w:styleId="Footer">
    <w:name w:val="footer"/>
    <w:basedOn w:val="Normal"/>
    <w:link w:val="FooterChar"/>
    <w:uiPriority w:val="99"/>
    <w:unhideWhenUsed w:val="1"/>
    <w:rsid w:val="00752D4B"/>
    <w:pPr>
      <w:tabs>
        <w:tab w:val="center" w:pos="4513"/>
        <w:tab w:val="right" w:pos="9026"/>
      </w:tabs>
    </w:pPr>
  </w:style>
  <w:style w:type="character" w:styleId="FooterChar" w:customStyle="1">
    <w:name w:val="Footer Char"/>
    <w:basedOn w:val="DefaultParagraphFont"/>
    <w:link w:val="Footer"/>
    <w:uiPriority w:val="99"/>
    <w:rsid w:val="00752D4B"/>
    <w:rPr>
      <w:rFonts w:ascii="Calibri" w:cs="Calibri" w:eastAsia="Calibri" w:hAnsi="Calibri"/>
      <w:lang w:bidi="en-US" w:val="en-US"/>
    </w:rPr>
  </w:style>
  <w:style w:type="table" w:styleId="TableGrid">
    <w:name w:val="Table Grid"/>
    <w:basedOn w:val="TableNormal"/>
    <w:uiPriority w:val="59"/>
    <w:rsid w:val="007F5EB3"/>
    <w:pPr>
      <w:spacing w:after="0" w:line="240" w:lineRule="auto"/>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492B54"/>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492B54"/>
    <w:rPr>
      <w:rFonts w:ascii="Lucida Grande" w:cs="Lucida Grande" w:eastAsia="Calibri" w:hAnsi="Lucida Grande"/>
      <w:sz w:val="18"/>
      <w:szCs w:val="18"/>
      <w:lang w:bidi="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YoOLKi5QWAeZofZQVadHC39dKw==">AMUW2mV9/wur5VMfYCRQ2vu4KwIm6tBfcq4L588DutCanMPA3JAdH4F7kv0K0hY8HjQO8ssRi+o819k+kaGHZprEhGj5QC9d3IagJWW6lUeHJorxMPsvJvU=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2022-12-05T14:23:00Z</dcterms:created>
  <dc:creator>Jennifer Curley</dc:creator>
</cp:coreProperties>
</file>