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8A4B5" w14:textId="77777777" w:rsidR="00E91EE3" w:rsidRDefault="00E91EE3" w:rsidP="003B50AE">
      <w:pPr>
        <w:pBdr>
          <w:top w:val="nil"/>
          <w:left w:val="nil"/>
          <w:bottom w:val="nil"/>
          <w:right w:val="nil"/>
          <w:between w:val="nil"/>
        </w:pBdr>
        <w:spacing w:after="360" w:line="340" w:lineRule="auto"/>
        <w:rPr>
          <w:color w:val="003863"/>
          <w:sz w:val="36"/>
          <w:szCs w:val="36"/>
        </w:rPr>
      </w:pPr>
    </w:p>
    <w:p w14:paraId="7106C292" w14:textId="77777777" w:rsidR="00E91EE3" w:rsidRDefault="00E91EE3">
      <w:pPr>
        <w:rPr>
          <w:color w:val="000000"/>
          <w:highlight w:val="white"/>
        </w:rPr>
      </w:pPr>
    </w:p>
    <w:tbl>
      <w:tblPr>
        <w:tblStyle w:val="TableGrid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D9E2F3" w:themeFill="accent1" w:themeFillTint="33"/>
        <w:tblLook w:val="00A0" w:firstRow="1" w:lastRow="0" w:firstColumn="1" w:lastColumn="0" w:noHBand="0" w:noVBand="0"/>
      </w:tblPr>
      <w:tblGrid>
        <w:gridCol w:w="3964"/>
        <w:gridCol w:w="1276"/>
        <w:gridCol w:w="992"/>
        <w:gridCol w:w="1134"/>
        <w:gridCol w:w="1134"/>
        <w:gridCol w:w="1418"/>
      </w:tblGrid>
      <w:tr w:rsidR="00661291" w:rsidRPr="007A0B06" w14:paraId="64337226" w14:textId="77777777" w:rsidTr="009931A7">
        <w:tc>
          <w:tcPr>
            <w:tcW w:w="9918" w:type="dxa"/>
            <w:gridSpan w:val="6"/>
            <w:tcBorders>
              <w:bottom w:val="single" w:sz="4" w:space="0" w:color="00B0F0"/>
            </w:tcBorders>
            <w:shd w:val="clear" w:color="auto" w:fill="D9E2F3" w:themeFill="accent1" w:themeFillTint="33"/>
          </w:tcPr>
          <w:p w14:paraId="739FD7D3" w14:textId="1CC1356D" w:rsidR="00661291" w:rsidRPr="00A05F8A" w:rsidRDefault="00661291" w:rsidP="00121298">
            <w:pPr>
              <w:jc w:val="center"/>
              <w:rPr>
                <w:rFonts w:asciiTheme="majorHAnsi" w:hAnsiTheme="majorHAnsi"/>
                <w:color w:val="44546A" w:themeColor="text2"/>
                <w:lang w:val="en-GB"/>
              </w:rPr>
            </w:pPr>
          </w:p>
          <w:p w14:paraId="5627B4D5" w14:textId="62B3357B" w:rsidR="00661291" w:rsidRPr="009931A7" w:rsidRDefault="00661291" w:rsidP="00121298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  <w:sz w:val="40"/>
                <w:szCs w:val="40"/>
              </w:rPr>
            </w:pPr>
            <w:r w:rsidRPr="009931A7">
              <w:rPr>
                <w:rFonts w:asciiTheme="majorHAnsi" w:hAnsiTheme="majorHAnsi" w:cstheme="majorHAnsi"/>
                <w:b/>
                <w:color w:val="1F3864" w:themeColor="accent1" w:themeShade="80"/>
                <w:sz w:val="40"/>
                <w:szCs w:val="40"/>
              </w:rPr>
              <w:t xml:space="preserve">Equity Between Choice of Assessment </w:t>
            </w:r>
            <w:r w:rsidR="009931A7">
              <w:rPr>
                <w:rFonts w:asciiTheme="majorHAnsi" w:hAnsiTheme="majorHAnsi" w:cstheme="majorHAnsi"/>
                <w:b/>
                <w:color w:val="1F3864" w:themeColor="accent1" w:themeShade="80"/>
                <w:sz w:val="40"/>
                <w:szCs w:val="40"/>
              </w:rPr>
              <w:t>Evaluation Tool</w:t>
            </w:r>
          </w:p>
          <w:p w14:paraId="2D84F7CB" w14:textId="21A343D7" w:rsidR="0050306E" w:rsidRDefault="00661291" w:rsidP="003A7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</w:pPr>
            <w:r w:rsidRPr="00707CE8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This </w:t>
            </w:r>
            <w:r w:rsidR="003A7ABF" w:rsidRPr="00707CE8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8-item </w:t>
            </w:r>
            <w:r w:rsidR="009931A7" w:rsidRPr="00707CE8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evaluation tool</w:t>
            </w:r>
            <w:r w:rsidR="00F83A8C" w:rsidRPr="00707CE8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 </w:t>
            </w:r>
            <w:r w:rsidR="009931A7" w:rsidRPr="00707CE8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aims to </w:t>
            </w:r>
            <w:r w:rsidR="007F605C" w:rsidRPr="00707CE8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specifically measure students perceived equity </w:t>
            </w:r>
            <w:r w:rsidR="00D31203" w:rsidRPr="00707CE8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and how it was supported when they had the opportunity of a </w:t>
            </w:r>
            <w:r w:rsidR="009931A7" w:rsidRPr="00707CE8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choice</w:t>
            </w:r>
            <w:r w:rsidR="00D31203" w:rsidRPr="00707CE8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 between two or more</w:t>
            </w:r>
            <w:r w:rsidR="009931A7" w:rsidRPr="00707CE8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 assessment methods in </w:t>
            </w:r>
            <w:r w:rsidR="007F605C" w:rsidRPr="00707CE8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their</w:t>
            </w:r>
            <w:r w:rsidR="009931A7" w:rsidRPr="00707CE8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 module</w:t>
            </w:r>
            <w:r w:rsidR="006C1649" w:rsidRPr="00707CE8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 </w:t>
            </w:r>
            <w:r w:rsidR="006C1649" w:rsidRPr="00707CE8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>(O’Neill, 2017</w:t>
            </w:r>
            <w:r w:rsidR="007F605C" w:rsidRPr="00707CE8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 xml:space="preserve">). </w:t>
            </w:r>
            <w:r w:rsidR="007F605C" w:rsidRPr="00707CE8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It was original described as the </w:t>
            </w:r>
            <w:r w:rsidR="00D31203" w:rsidRPr="00707CE8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‘</w:t>
            </w:r>
            <w:r w:rsidR="00E94886" w:rsidRPr="00707CE8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Supporting Equity </w:t>
            </w:r>
            <w:r w:rsidR="00D31203" w:rsidRPr="00707CE8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Subscale’</w:t>
            </w:r>
            <w:r w:rsidR="00E94886" w:rsidRPr="00707CE8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 and the details of the factor analys</w:t>
            </w:r>
            <w:r w:rsidR="00D31203" w:rsidRPr="00707CE8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i</w:t>
            </w:r>
            <w:r w:rsidR="00E94886" w:rsidRPr="00707CE8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s on this scale can be seen in O’Neill (2017)</w:t>
            </w:r>
            <w:r w:rsidR="007F605C" w:rsidRPr="00707CE8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. It </w:t>
            </w:r>
            <w:r w:rsidR="009931A7" w:rsidRPr="00707CE8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develop</w:t>
            </w:r>
            <w:r w:rsidR="006C1649" w:rsidRPr="00707CE8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ed</w:t>
            </w:r>
            <w:r w:rsidR="00F83A8C" w:rsidRPr="00707CE8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 </w:t>
            </w:r>
            <w:r w:rsidR="00D31203" w:rsidRPr="00707CE8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as part of an analysis on a 20-item </w:t>
            </w:r>
            <w:r w:rsidR="00F83A8C" w:rsidRPr="00707CE8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questionnaire </w:t>
            </w:r>
            <w:r w:rsidR="00340AC1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(</w:t>
            </w:r>
            <w:r w:rsidR="00340AC1" w:rsidRPr="00707CE8">
              <w:rPr>
                <w:rFonts w:asciiTheme="majorHAnsi" w:hAnsiTheme="majorHAnsi" w:cstheme="majorHAnsi"/>
                <w:i/>
                <w:iCs/>
                <w:color w:val="44546A" w:themeColor="text2"/>
                <w:sz w:val="20"/>
                <w:szCs w:val="20"/>
                <w:lang w:val="en-GB"/>
              </w:rPr>
              <w:t>Students Views on Choice of Assessment Methods</w:t>
            </w:r>
            <w:r w:rsidR="00340AC1">
              <w:rPr>
                <w:rFonts w:asciiTheme="majorHAnsi" w:hAnsiTheme="majorHAnsi" w:cstheme="majorHAnsi"/>
                <w:i/>
                <w:iCs/>
                <w:color w:val="44546A" w:themeColor="text2"/>
                <w:sz w:val="20"/>
                <w:szCs w:val="20"/>
                <w:lang w:val="en-GB"/>
              </w:rPr>
              <w:t xml:space="preserve">) </w:t>
            </w:r>
            <w:r w:rsidR="00F83A8C" w:rsidRPr="00707CE8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that measured a wider set of variables </w:t>
            </w:r>
            <w:r w:rsidR="00F83A8C" w:rsidRPr="00574327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on choice of assessment </w:t>
            </w:r>
            <w:r w:rsidR="007F605C" w:rsidRPr="00574327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approaches</w:t>
            </w:r>
            <w:r w:rsidR="00340AC1" w:rsidRPr="00574327">
              <w:rPr>
                <w:rFonts w:asciiTheme="majorHAnsi" w:hAnsiTheme="majorHAnsi" w:cstheme="majorHAnsi"/>
                <w:i/>
                <w:iCs/>
                <w:color w:val="44546A" w:themeColor="text2"/>
                <w:sz w:val="20"/>
                <w:szCs w:val="20"/>
                <w:lang w:val="en-GB"/>
              </w:rPr>
              <w:t>,</w:t>
            </w:r>
            <w:r w:rsidR="0050306E" w:rsidRPr="00574327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 </w:t>
            </w:r>
            <w:r w:rsidR="00D31203" w:rsidRPr="00574327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such as </w:t>
            </w:r>
            <w:r w:rsidR="00F83A8C" w:rsidRPr="00574327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student</w:t>
            </w:r>
            <w:r w:rsidR="0050306E" w:rsidRPr="00574327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s’</w:t>
            </w:r>
            <w:r w:rsidR="00F83A8C" w:rsidRPr="00574327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 empowerment,</w:t>
            </w:r>
            <w:r w:rsidR="007F605C" w:rsidRPr="00574327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 diversity of choice</w:t>
            </w:r>
            <w:r w:rsidR="003A7ABF" w:rsidRPr="00574327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 </w:t>
            </w:r>
            <w:r w:rsidR="007F605C" w:rsidRPr="00574327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(</w:t>
            </w:r>
            <w:r w:rsidR="003A7ABF" w:rsidRPr="00574327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see </w:t>
            </w:r>
            <w:r w:rsidR="007F605C" w:rsidRPr="00574327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O’Neill, 2011) </w:t>
            </w:r>
            <w:r w:rsidR="003A7ABF" w:rsidRPr="00574327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>and is also available</w:t>
            </w:r>
            <w:r w:rsidR="007F605C" w:rsidRPr="00574327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 at </w:t>
            </w:r>
            <w:r w:rsidR="007F605C" w:rsidRPr="00FD1DFC">
              <w:rPr>
                <w:rFonts w:asciiTheme="majorHAnsi" w:hAnsiTheme="majorHAnsi" w:cstheme="majorHAnsi"/>
                <w:i/>
                <w:iCs/>
                <w:color w:val="44546A" w:themeColor="text2"/>
                <w:sz w:val="20"/>
                <w:szCs w:val="20"/>
                <w:lang w:val="en-GB"/>
              </w:rPr>
              <w:t>UCD T&amp;L (2022c)</w:t>
            </w:r>
            <w:r w:rsidR="003A7ABF" w:rsidRPr="00FD1DFC">
              <w:rPr>
                <w:rFonts w:asciiTheme="majorHAnsi" w:hAnsiTheme="majorHAnsi" w:cstheme="majorHAnsi"/>
                <w:color w:val="44546A" w:themeColor="text2"/>
                <w:sz w:val="20"/>
                <w:szCs w:val="20"/>
                <w:lang w:val="en-GB"/>
              </w:rPr>
              <w:t xml:space="preserve">. </w:t>
            </w:r>
          </w:p>
          <w:p w14:paraId="15B7F93B" w14:textId="77777777" w:rsidR="0050306E" w:rsidRDefault="0050306E" w:rsidP="003A7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hAnsiTheme="majorHAnsi"/>
                <w:color w:val="44546A" w:themeColor="text2"/>
                <w:sz w:val="20"/>
                <w:szCs w:val="20"/>
                <w:lang w:val="en-GB"/>
              </w:rPr>
            </w:pPr>
          </w:p>
          <w:p w14:paraId="4C5140E5" w14:textId="2C83128B" w:rsidR="003A7ABF" w:rsidRPr="0050306E" w:rsidRDefault="003A7ABF" w:rsidP="00503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hAnsiTheme="majorHAnsi"/>
                <w:color w:val="44546A" w:themeColor="text2"/>
                <w:sz w:val="20"/>
                <w:szCs w:val="20"/>
                <w:lang w:val="en-GB"/>
              </w:rPr>
            </w:pPr>
            <w:r w:rsidRPr="00707CE8">
              <w:rPr>
                <w:rFonts w:asciiTheme="majorHAnsi" w:hAnsiTheme="majorHAnsi"/>
                <w:color w:val="44546A" w:themeColor="text2"/>
                <w:sz w:val="20"/>
                <w:szCs w:val="20"/>
                <w:lang w:val="en-GB"/>
              </w:rPr>
              <w:t xml:space="preserve">This </w:t>
            </w:r>
            <w:r w:rsidR="0050306E">
              <w:rPr>
                <w:rFonts w:asciiTheme="majorHAnsi" w:hAnsiTheme="majorHAnsi"/>
                <w:color w:val="44546A" w:themeColor="text2"/>
                <w:sz w:val="20"/>
                <w:szCs w:val="20"/>
                <w:lang w:val="en-GB"/>
              </w:rPr>
              <w:t>‘</w:t>
            </w:r>
            <w:r w:rsidRPr="00707CE8">
              <w:rPr>
                <w:rFonts w:asciiTheme="majorHAnsi" w:hAnsiTheme="majorHAnsi" w:cstheme="majorHAnsi"/>
                <w:bCs/>
                <w:i/>
                <w:iCs/>
                <w:color w:val="44546A" w:themeColor="text2"/>
                <w:sz w:val="20"/>
                <w:szCs w:val="20"/>
              </w:rPr>
              <w:t xml:space="preserve">Equity Between Choice of Assessment Evaluation Tool’ </w:t>
            </w:r>
            <w:r w:rsidR="0050306E">
              <w:rPr>
                <w:rFonts w:asciiTheme="majorHAnsi" w:hAnsiTheme="majorHAnsi" w:cstheme="majorHAnsi"/>
                <w:bCs/>
                <w:color w:val="44546A" w:themeColor="text2"/>
                <w:sz w:val="20"/>
                <w:szCs w:val="20"/>
              </w:rPr>
              <w:t xml:space="preserve">below </w:t>
            </w:r>
            <w:r w:rsidRPr="00707CE8">
              <w:rPr>
                <w:rFonts w:asciiTheme="majorHAnsi" w:hAnsiTheme="majorHAnsi"/>
                <w:color w:val="44546A" w:themeColor="text2"/>
                <w:sz w:val="20"/>
                <w:szCs w:val="20"/>
                <w:lang w:val="en-GB"/>
              </w:rPr>
              <w:t>is available for use by others within and outside of UCD, providing the original research is acknowledged, i.e., O’Neill</w:t>
            </w:r>
            <w:r w:rsidR="0050306E">
              <w:rPr>
                <w:rFonts w:asciiTheme="majorHAnsi" w:hAnsiTheme="majorHAnsi"/>
                <w:color w:val="44546A" w:themeColor="text2"/>
                <w:sz w:val="20"/>
                <w:szCs w:val="20"/>
                <w:lang w:val="en-GB"/>
              </w:rPr>
              <w:t xml:space="preserve"> (</w:t>
            </w:r>
            <w:r w:rsidRPr="00707CE8">
              <w:rPr>
                <w:rFonts w:asciiTheme="majorHAnsi" w:hAnsiTheme="majorHAnsi"/>
                <w:color w:val="44546A" w:themeColor="text2"/>
                <w:sz w:val="20"/>
                <w:szCs w:val="20"/>
                <w:lang w:val="en-GB"/>
              </w:rPr>
              <w:t>2017</w:t>
            </w:r>
            <w:r w:rsidR="0050306E">
              <w:rPr>
                <w:rFonts w:asciiTheme="majorHAnsi" w:hAnsiTheme="majorHAnsi"/>
                <w:color w:val="44546A" w:themeColor="text2"/>
                <w:sz w:val="20"/>
                <w:szCs w:val="20"/>
                <w:lang w:val="en-GB"/>
              </w:rPr>
              <w:t xml:space="preserve">) </w:t>
            </w:r>
            <w:r w:rsidRPr="00707CE8">
              <w:rPr>
                <w:rFonts w:asciiTheme="majorHAnsi" w:hAnsiTheme="majorHAnsi"/>
                <w:color w:val="44546A" w:themeColor="text2"/>
                <w:sz w:val="20"/>
                <w:szCs w:val="20"/>
                <w:lang w:val="en-GB"/>
              </w:rPr>
              <w:t>(see below).</w:t>
            </w:r>
          </w:p>
        </w:tc>
      </w:tr>
      <w:tr w:rsidR="0050306E" w:rsidRPr="00CB2D22" w14:paraId="47B65605" w14:textId="07AB823B" w:rsidTr="0050306E">
        <w:tc>
          <w:tcPr>
            <w:tcW w:w="3964" w:type="dxa"/>
            <w:shd w:val="clear" w:color="auto" w:fill="auto"/>
          </w:tcPr>
          <w:p w14:paraId="6751C9C4" w14:textId="733F37F4" w:rsidR="009931A7" w:rsidRPr="0050306E" w:rsidRDefault="009931A7" w:rsidP="006C1649">
            <w:pPr>
              <w:pStyle w:val="ListParagraph"/>
              <w:numPr>
                <w:ilvl w:val="0"/>
                <w:numId w:val="2"/>
              </w:numPr>
              <w:ind w:left="457" w:hanging="283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  <w:r w:rsidRPr="0050306E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>I felt I was given sufficient information required to choose the assessment method</w:t>
            </w:r>
          </w:p>
        </w:tc>
        <w:tc>
          <w:tcPr>
            <w:tcW w:w="1276" w:type="dxa"/>
            <w:shd w:val="clear" w:color="auto" w:fill="auto"/>
          </w:tcPr>
          <w:p w14:paraId="59D1C694" w14:textId="21EBAC81" w:rsidR="009931A7" w:rsidRPr="0050306E" w:rsidRDefault="009931A7" w:rsidP="009931A7">
            <w:pPr>
              <w:jc w:val="center"/>
              <w:rPr>
                <w:rFonts w:asciiTheme="majorHAnsi" w:hAnsiTheme="majorHAnsi"/>
                <w:b/>
                <w:bCs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Strongly Disagree</w:t>
            </w:r>
          </w:p>
        </w:tc>
        <w:tc>
          <w:tcPr>
            <w:tcW w:w="992" w:type="dxa"/>
            <w:shd w:val="clear" w:color="auto" w:fill="auto"/>
          </w:tcPr>
          <w:p w14:paraId="13E372A0" w14:textId="290C60FC" w:rsidR="009931A7" w:rsidRPr="0050306E" w:rsidRDefault="009931A7" w:rsidP="009931A7">
            <w:pPr>
              <w:jc w:val="center"/>
              <w:rPr>
                <w:rFonts w:asciiTheme="majorHAnsi" w:hAnsiTheme="majorHAnsi"/>
                <w:b/>
                <w:bCs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Disagree</w:t>
            </w:r>
          </w:p>
        </w:tc>
        <w:tc>
          <w:tcPr>
            <w:tcW w:w="1134" w:type="dxa"/>
            <w:shd w:val="clear" w:color="auto" w:fill="auto"/>
          </w:tcPr>
          <w:p w14:paraId="145C32DE" w14:textId="5AF17B70" w:rsidR="009931A7" w:rsidRPr="0050306E" w:rsidRDefault="009931A7" w:rsidP="009931A7">
            <w:pPr>
              <w:jc w:val="center"/>
              <w:rPr>
                <w:rFonts w:asciiTheme="majorHAnsi" w:hAnsiTheme="majorHAnsi"/>
                <w:b/>
                <w:bCs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Undecided</w:t>
            </w:r>
          </w:p>
        </w:tc>
        <w:tc>
          <w:tcPr>
            <w:tcW w:w="1134" w:type="dxa"/>
            <w:shd w:val="clear" w:color="auto" w:fill="auto"/>
          </w:tcPr>
          <w:p w14:paraId="06DE2144" w14:textId="7D1953FF" w:rsidR="009931A7" w:rsidRPr="0050306E" w:rsidRDefault="009931A7" w:rsidP="009931A7">
            <w:pPr>
              <w:jc w:val="center"/>
              <w:rPr>
                <w:rFonts w:asciiTheme="majorHAnsi" w:hAnsiTheme="majorHAnsi"/>
                <w:b/>
                <w:bCs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Agree</w:t>
            </w:r>
          </w:p>
        </w:tc>
        <w:tc>
          <w:tcPr>
            <w:tcW w:w="1418" w:type="dxa"/>
            <w:shd w:val="clear" w:color="auto" w:fill="auto"/>
          </w:tcPr>
          <w:p w14:paraId="59AFD40B" w14:textId="4FB85572" w:rsidR="009931A7" w:rsidRPr="0050306E" w:rsidRDefault="009931A7" w:rsidP="009931A7">
            <w:pPr>
              <w:jc w:val="center"/>
              <w:rPr>
                <w:rFonts w:asciiTheme="majorHAnsi" w:hAnsiTheme="majorHAnsi"/>
                <w:b/>
                <w:bCs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Strongly Agree</w:t>
            </w:r>
          </w:p>
        </w:tc>
      </w:tr>
      <w:tr w:rsidR="009931A7" w:rsidRPr="00D97237" w14:paraId="63AA4AB3" w14:textId="49669631" w:rsidTr="0050306E">
        <w:tc>
          <w:tcPr>
            <w:tcW w:w="3964" w:type="dxa"/>
          </w:tcPr>
          <w:p w14:paraId="08F2BF87" w14:textId="17FD80B4" w:rsidR="009931A7" w:rsidRPr="0050306E" w:rsidRDefault="009931A7" w:rsidP="006C1649">
            <w:pPr>
              <w:pStyle w:val="ListParagraph"/>
              <w:numPr>
                <w:ilvl w:val="0"/>
                <w:numId w:val="2"/>
              </w:numPr>
              <w:ind w:left="457" w:hanging="283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  <w:r w:rsidRPr="0050306E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>I was confident in my choice of assessment method</w:t>
            </w:r>
          </w:p>
        </w:tc>
        <w:tc>
          <w:tcPr>
            <w:tcW w:w="1276" w:type="dxa"/>
          </w:tcPr>
          <w:p w14:paraId="027B81CE" w14:textId="77777777" w:rsidR="009931A7" w:rsidRPr="0050306E" w:rsidRDefault="009931A7" w:rsidP="00993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 w:hanging="2"/>
              <w:jc w:val="center"/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Strongly Disagree</w:t>
            </w:r>
          </w:p>
          <w:p w14:paraId="572F5C21" w14:textId="77777777" w:rsidR="009931A7" w:rsidRPr="0050306E" w:rsidRDefault="009931A7" w:rsidP="00993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 w:hanging="2"/>
              <w:jc w:val="center"/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</w:pPr>
          </w:p>
          <w:p w14:paraId="4D5358BB" w14:textId="77777777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</w:p>
        </w:tc>
        <w:tc>
          <w:tcPr>
            <w:tcW w:w="992" w:type="dxa"/>
          </w:tcPr>
          <w:p w14:paraId="00B5172E" w14:textId="4EEE42D8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Disagree</w:t>
            </w:r>
          </w:p>
        </w:tc>
        <w:tc>
          <w:tcPr>
            <w:tcW w:w="1134" w:type="dxa"/>
          </w:tcPr>
          <w:p w14:paraId="2AF5BF60" w14:textId="258735AE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Undecided</w:t>
            </w:r>
          </w:p>
        </w:tc>
        <w:tc>
          <w:tcPr>
            <w:tcW w:w="1134" w:type="dxa"/>
          </w:tcPr>
          <w:p w14:paraId="5B09E77C" w14:textId="4F232C8D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Agree</w:t>
            </w:r>
          </w:p>
        </w:tc>
        <w:tc>
          <w:tcPr>
            <w:tcW w:w="1418" w:type="dxa"/>
          </w:tcPr>
          <w:p w14:paraId="7F9CBABA" w14:textId="1370FCFC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Strongly Agree</w:t>
            </w:r>
          </w:p>
        </w:tc>
      </w:tr>
      <w:tr w:rsidR="009931A7" w:rsidRPr="00D97237" w14:paraId="18AF38C0" w14:textId="3AB4651C" w:rsidTr="0050306E">
        <w:tc>
          <w:tcPr>
            <w:tcW w:w="3964" w:type="dxa"/>
          </w:tcPr>
          <w:p w14:paraId="0CF11B41" w14:textId="0FE46AD1" w:rsidR="009931A7" w:rsidRPr="0050306E" w:rsidRDefault="009931A7" w:rsidP="006C1649">
            <w:pPr>
              <w:pStyle w:val="ListParagraph"/>
              <w:numPr>
                <w:ilvl w:val="0"/>
                <w:numId w:val="2"/>
              </w:numPr>
              <w:ind w:left="457" w:hanging="283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  <w:r w:rsidRPr="0050306E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>The staff could have been more supportive in the helping me choose my assessment method(s)</w:t>
            </w:r>
            <w:r w:rsidR="00AF6968" w:rsidRPr="0050306E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14:paraId="73E9B18B" w14:textId="2C9805CD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Strongly Disagree</w:t>
            </w:r>
          </w:p>
        </w:tc>
        <w:tc>
          <w:tcPr>
            <w:tcW w:w="992" w:type="dxa"/>
          </w:tcPr>
          <w:p w14:paraId="43C3E069" w14:textId="5F234EEE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Disagree</w:t>
            </w:r>
          </w:p>
        </w:tc>
        <w:tc>
          <w:tcPr>
            <w:tcW w:w="1134" w:type="dxa"/>
          </w:tcPr>
          <w:p w14:paraId="23D4DBBD" w14:textId="6897E8E9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Undecided</w:t>
            </w:r>
          </w:p>
        </w:tc>
        <w:tc>
          <w:tcPr>
            <w:tcW w:w="1134" w:type="dxa"/>
          </w:tcPr>
          <w:p w14:paraId="43DA6427" w14:textId="26CF146E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Agree</w:t>
            </w:r>
          </w:p>
        </w:tc>
        <w:tc>
          <w:tcPr>
            <w:tcW w:w="1418" w:type="dxa"/>
          </w:tcPr>
          <w:p w14:paraId="3597C09C" w14:textId="714F7502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Strongly Agree</w:t>
            </w:r>
          </w:p>
        </w:tc>
      </w:tr>
      <w:tr w:rsidR="009931A7" w:rsidRPr="00D97237" w14:paraId="5F69C02D" w14:textId="19C4E78F" w:rsidTr="0050306E">
        <w:tc>
          <w:tcPr>
            <w:tcW w:w="3964" w:type="dxa"/>
          </w:tcPr>
          <w:p w14:paraId="26F350A6" w14:textId="3921F436" w:rsidR="009931A7" w:rsidRPr="0050306E" w:rsidRDefault="009931A7" w:rsidP="006C1649">
            <w:pPr>
              <w:pStyle w:val="ListParagraph"/>
              <w:numPr>
                <w:ilvl w:val="0"/>
                <w:numId w:val="2"/>
              </w:numPr>
              <w:ind w:left="457" w:hanging="283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  <w:r w:rsidRPr="0050306E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>The assessment method I chose was not explained as well as the other assessment method</w:t>
            </w:r>
            <w:r w:rsidR="00AF6968" w:rsidRPr="0050306E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>*</w:t>
            </w:r>
            <w:r w:rsidRPr="0050306E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1277BFC8" w14:textId="51C68F97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Strongly Disagree</w:t>
            </w:r>
          </w:p>
        </w:tc>
        <w:tc>
          <w:tcPr>
            <w:tcW w:w="992" w:type="dxa"/>
          </w:tcPr>
          <w:p w14:paraId="2530C6F6" w14:textId="497F70EB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Disagree</w:t>
            </w:r>
          </w:p>
        </w:tc>
        <w:tc>
          <w:tcPr>
            <w:tcW w:w="1134" w:type="dxa"/>
          </w:tcPr>
          <w:p w14:paraId="40696652" w14:textId="391BB1C7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Undecided</w:t>
            </w:r>
          </w:p>
        </w:tc>
        <w:tc>
          <w:tcPr>
            <w:tcW w:w="1134" w:type="dxa"/>
          </w:tcPr>
          <w:p w14:paraId="56A43FFB" w14:textId="767FE0ED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Agree</w:t>
            </w:r>
          </w:p>
        </w:tc>
        <w:tc>
          <w:tcPr>
            <w:tcW w:w="1418" w:type="dxa"/>
          </w:tcPr>
          <w:p w14:paraId="31F405FB" w14:textId="22E4E8CC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Strongly Agree</w:t>
            </w:r>
          </w:p>
        </w:tc>
      </w:tr>
      <w:tr w:rsidR="009931A7" w:rsidRPr="00D97237" w14:paraId="7B046B5A" w14:textId="79964E63" w:rsidTr="0050306E">
        <w:tc>
          <w:tcPr>
            <w:tcW w:w="3964" w:type="dxa"/>
          </w:tcPr>
          <w:p w14:paraId="1A279178" w14:textId="6240F3D2" w:rsidR="009931A7" w:rsidRPr="0050306E" w:rsidRDefault="009931A7" w:rsidP="006C1649">
            <w:pPr>
              <w:pStyle w:val="ListParagraph"/>
              <w:numPr>
                <w:ilvl w:val="0"/>
                <w:numId w:val="2"/>
              </w:numPr>
              <w:ind w:left="457" w:hanging="283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  <w:r w:rsidRPr="0050306E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>I felt I was given the support required while attempting this assessment method</w:t>
            </w:r>
          </w:p>
        </w:tc>
        <w:tc>
          <w:tcPr>
            <w:tcW w:w="1276" w:type="dxa"/>
          </w:tcPr>
          <w:p w14:paraId="38A976F2" w14:textId="670F57A4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Strongly Disagree</w:t>
            </w:r>
          </w:p>
        </w:tc>
        <w:tc>
          <w:tcPr>
            <w:tcW w:w="992" w:type="dxa"/>
          </w:tcPr>
          <w:p w14:paraId="48D3E173" w14:textId="52A20F29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Disagree</w:t>
            </w:r>
          </w:p>
        </w:tc>
        <w:tc>
          <w:tcPr>
            <w:tcW w:w="1134" w:type="dxa"/>
          </w:tcPr>
          <w:p w14:paraId="2CC6D0CE" w14:textId="2E2C76E8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Undecided</w:t>
            </w:r>
          </w:p>
        </w:tc>
        <w:tc>
          <w:tcPr>
            <w:tcW w:w="1134" w:type="dxa"/>
          </w:tcPr>
          <w:p w14:paraId="4867FD1B" w14:textId="7ADA620B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Agree</w:t>
            </w:r>
          </w:p>
        </w:tc>
        <w:tc>
          <w:tcPr>
            <w:tcW w:w="1418" w:type="dxa"/>
          </w:tcPr>
          <w:p w14:paraId="164A34DD" w14:textId="26F02FF1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Strongly Agree</w:t>
            </w:r>
          </w:p>
        </w:tc>
      </w:tr>
      <w:tr w:rsidR="009931A7" w:rsidRPr="00D97237" w14:paraId="64148528" w14:textId="77777777" w:rsidTr="0050306E">
        <w:tc>
          <w:tcPr>
            <w:tcW w:w="3964" w:type="dxa"/>
          </w:tcPr>
          <w:p w14:paraId="7AB0DD57" w14:textId="3EEE97C3" w:rsidR="009931A7" w:rsidRPr="0050306E" w:rsidRDefault="009931A7" w:rsidP="006C1649">
            <w:pPr>
              <w:pStyle w:val="ListParagraph"/>
              <w:numPr>
                <w:ilvl w:val="0"/>
                <w:numId w:val="2"/>
              </w:numPr>
              <w:ind w:left="457" w:hanging="283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  <w:r w:rsidRPr="0050306E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>I was satisfied with the level of feedback I had compared to the feedback in other assessment method</w:t>
            </w:r>
          </w:p>
        </w:tc>
        <w:tc>
          <w:tcPr>
            <w:tcW w:w="1276" w:type="dxa"/>
          </w:tcPr>
          <w:p w14:paraId="6E283D3A" w14:textId="333F9963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Strongly Disagree</w:t>
            </w:r>
          </w:p>
        </w:tc>
        <w:tc>
          <w:tcPr>
            <w:tcW w:w="992" w:type="dxa"/>
          </w:tcPr>
          <w:p w14:paraId="18C1C632" w14:textId="29EC2C61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Disagree</w:t>
            </w:r>
          </w:p>
        </w:tc>
        <w:tc>
          <w:tcPr>
            <w:tcW w:w="1134" w:type="dxa"/>
          </w:tcPr>
          <w:p w14:paraId="5CDD23D6" w14:textId="646F4EAB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Undecided</w:t>
            </w:r>
          </w:p>
        </w:tc>
        <w:tc>
          <w:tcPr>
            <w:tcW w:w="1134" w:type="dxa"/>
          </w:tcPr>
          <w:p w14:paraId="2AB4A102" w14:textId="1D29D043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Agree</w:t>
            </w:r>
          </w:p>
        </w:tc>
        <w:tc>
          <w:tcPr>
            <w:tcW w:w="1418" w:type="dxa"/>
          </w:tcPr>
          <w:p w14:paraId="6E91A284" w14:textId="68276185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Strongly Agree</w:t>
            </w:r>
          </w:p>
        </w:tc>
      </w:tr>
      <w:tr w:rsidR="009931A7" w:rsidRPr="00D97237" w14:paraId="5813B9A7" w14:textId="77777777" w:rsidTr="0050306E">
        <w:tc>
          <w:tcPr>
            <w:tcW w:w="3964" w:type="dxa"/>
          </w:tcPr>
          <w:p w14:paraId="53C40196" w14:textId="64B64128" w:rsidR="009931A7" w:rsidRPr="0050306E" w:rsidRDefault="009931A7" w:rsidP="006C1649">
            <w:pPr>
              <w:pStyle w:val="ListParagraph"/>
              <w:numPr>
                <w:ilvl w:val="0"/>
                <w:numId w:val="2"/>
              </w:numPr>
              <w:ind w:left="457" w:hanging="283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  <w:r w:rsidRPr="0050306E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>Over the course of the semester, the workload for my choice appeared similar to the other assessment method(s)</w:t>
            </w:r>
          </w:p>
        </w:tc>
        <w:tc>
          <w:tcPr>
            <w:tcW w:w="1276" w:type="dxa"/>
          </w:tcPr>
          <w:p w14:paraId="217DB24F" w14:textId="0F69BC38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Strongly Disagree</w:t>
            </w:r>
          </w:p>
        </w:tc>
        <w:tc>
          <w:tcPr>
            <w:tcW w:w="992" w:type="dxa"/>
          </w:tcPr>
          <w:p w14:paraId="6E2E50DF" w14:textId="66666E02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Disagree</w:t>
            </w:r>
          </w:p>
        </w:tc>
        <w:tc>
          <w:tcPr>
            <w:tcW w:w="1134" w:type="dxa"/>
          </w:tcPr>
          <w:p w14:paraId="01E1627E" w14:textId="02972F60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Undecided</w:t>
            </w:r>
          </w:p>
        </w:tc>
        <w:tc>
          <w:tcPr>
            <w:tcW w:w="1134" w:type="dxa"/>
          </w:tcPr>
          <w:p w14:paraId="3E8C2968" w14:textId="7D0137E2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Agree</w:t>
            </w:r>
          </w:p>
        </w:tc>
        <w:tc>
          <w:tcPr>
            <w:tcW w:w="1418" w:type="dxa"/>
          </w:tcPr>
          <w:p w14:paraId="221D4604" w14:textId="32C9DA48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Strongly Agree</w:t>
            </w:r>
          </w:p>
        </w:tc>
      </w:tr>
      <w:tr w:rsidR="009931A7" w:rsidRPr="00D97237" w14:paraId="463DD266" w14:textId="77777777" w:rsidTr="0050306E">
        <w:tc>
          <w:tcPr>
            <w:tcW w:w="3964" w:type="dxa"/>
          </w:tcPr>
          <w:p w14:paraId="1FC04D05" w14:textId="53905FC1" w:rsidR="009931A7" w:rsidRPr="0050306E" w:rsidRDefault="009931A7" w:rsidP="006C1649">
            <w:pPr>
              <w:pStyle w:val="ListParagraph"/>
              <w:numPr>
                <w:ilvl w:val="0"/>
                <w:numId w:val="2"/>
              </w:numPr>
              <w:ind w:left="457" w:hanging="283"/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  <w:r w:rsidRPr="0050306E"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>I was satisfied with the examples available of my assessment method compared to the examples of the other assessment method</w:t>
            </w:r>
          </w:p>
        </w:tc>
        <w:tc>
          <w:tcPr>
            <w:tcW w:w="1276" w:type="dxa"/>
          </w:tcPr>
          <w:p w14:paraId="2F5781F3" w14:textId="7FF979DC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Strongly Disagree</w:t>
            </w:r>
          </w:p>
        </w:tc>
        <w:tc>
          <w:tcPr>
            <w:tcW w:w="992" w:type="dxa"/>
          </w:tcPr>
          <w:p w14:paraId="4B21058B" w14:textId="20C4E316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Disagree</w:t>
            </w:r>
          </w:p>
        </w:tc>
        <w:tc>
          <w:tcPr>
            <w:tcW w:w="1134" w:type="dxa"/>
          </w:tcPr>
          <w:p w14:paraId="4CDE7D29" w14:textId="3C4887B4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Undecided</w:t>
            </w:r>
          </w:p>
        </w:tc>
        <w:tc>
          <w:tcPr>
            <w:tcW w:w="1134" w:type="dxa"/>
          </w:tcPr>
          <w:p w14:paraId="0E747BAB" w14:textId="458ACD85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Agree</w:t>
            </w:r>
          </w:p>
        </w:tc>
        <w:tc>
          <w:tcPr>
            <w:tcW w:w="1418" w:type="dxa"/>
          </w:tcPr>
          <w:p w14:paraId="25B90692" w14:textId="78FB4BF1" w:rsidR="009931A7" w:rsidRPr="0050306E" w:rsidRDefault="009931A7" w:rsidP="009931A7">
            <w:pPr>
              <w:jc w:val="center"/>
              <w:rPr>
                <w:rFonts w:asciiTheme="majorHAnsi" w:hAnsiTheme="majorHAnsi" w:cstheme="majorHAnsi"/>
                <w:color w:val="44546A" w:themeColor="text2"/>
                <w:sz w:val="15"/>
                <w:szCs w:val="15"/>
                <w:lang w:val="en-GB"/>
              </w:rPr>
            </w:pPr>
            <w:r w:rsidRPr="0050306E">
              <w:rPr>
                <w:rFonts w:asciiTheme="majorHAnsi" w:eastAsia="Times New Roman" w:hAnsiTheme="majorHAnsi" w:cstheme="majorHAnsi"/>
                <w:color w:val="44546A" w:themeColor="text2"/>
                <w:sz w:val="15"/>
                <w:szCs w:val="15"/>
              </w:rPr>
              <w:t>Strongly Agree</w:t>
            </w:r>
          </w:p>
        </w:tc>
      </w:tr>
      <w:tr w:rsidR="009931A7" w:rsidRPr="00D97237" w14:paraId="05CA23DA" w14:textId="77777777" w:rsidTr="0050306E">
        <w:tc>
          <w:tcPr>
            <w:tcW w:w="3964" w:type="dxa"/>
          </w:tcPr>
          <w:p w14:paraId="1CD72580" w14:textId="77777777" w:rsidR="009931A7" w:rsidRDefault="009931A7" w:rsidP="009931A7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  <w:p w14:paraId="64D6B4D3" w14:textId="541B9984" w:rsidR="009931A7" w:rsidRDefault="009931A7" w:rsidP="009931A7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  <w:t xml:space="preserve">Comment on the equity between the assessment choices, including how it was supported. </w:t>
            </w:r>
          </w:p>
          <w:p w14:paraId="73A3CDC5" w14:textId="0E594B52" w:rsidR="009931A7" w:rsidRPr="00395851" w:rsidRDefault="009931A7" w:rsidP="009931A7">
            <w:pPr>
              <w:rPr>
                <w:rFonts w:asciiTheme="majorHAnsi" w:hAnsiTheme="majorHAnsi" w:cstheme="maj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5954" w:type="dxa"/>
            <w:gridSpan w:val="5"/>
          </w:tcPr>
          <w:p w14:paraId="1B903190" w14:textId="77777777" w:rsidR="009931A7" w:rsidRPr="00395851" w:rsidRDefault="009931A7" w:rsidP="009931A7">
            <w:pPr>
              <w:jc w:val="center"/>
              <w:rPr>
                <w:rFonts w:asciiTheme="majorHAnsi" w:eastAsia="Times New Roman" w:hAnsiTheme="majorHAnsi" w:cstheme="majorHAnsi"/>
                <w:color w:val="44546A" w:themeColor="text2"/>
                <w:sz w:val="16"/>
                <w:szCs w:val="16"/>
              </w:rPr>
            </w:pPr>
          </w:p>
        </w:tc>
      </w:tr>
    </w:tbl>
    <w:p w14:paraId="6A437700" w14:textId="620BDED1" w:rsidR="00E91EE3" w:rsidRDefault="00AF6968" w:rsidP="00AF696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rPr>
          <w:rFonts w:asciiTheme="majorHAnsi" w:hAnsiTheme="majorHAnsi" w:cstheme="majorHAnsi"/>
          <w:i/>
          <w:iCs/>
          <w:color w:val="44546A" w:themeColor="text2"/>
          <w:sz w:val="20"/>
          <w:szCs w:val="20"/>
        </w:rPr>
      </w:pPr>
      <w:r>
        <w:rPr>
          <w:color w:val="000000"/>
        </w:rPr>
        <w:t>*</w:t>
      </w:r>
      <w:r>
        <w:rPr>
          <w:rFonts w:asciiTheme="majorHAnsi" w:hAnsiTheme="majorHAnsi" w:cstheme="majorHAnsi"/>
          <w:i/>
          <w:iCs/>
          <w:color w:val="44546A" w:themeColor="text2"/>
          <w:sz w:val="20"/>
          <w:szCs w:val="20"/>
        </w:rPr>
        <w:t xml:space="preserve">Note: this statement is </w:t>
      </w:r>
      <w:r w:rsidRPr="00AF6968">
        <w:rPr>
          <w:rFonts w:asciiTheme="majorHAnsi" w:hAnsiTheme="majorHAnsi" w:cstheme="majorHAnsi"/>
          <w:i/>
          <w:iCs/>
          <w:color w:val="44546A" w:themeColor="text2"/>
          <w:sz w:val="20"/>
          <w:szCs w:val="20"/>
        </w:rPr>
        <w:t>negatively worded</w:t>
      </w:r>
    </w:p>
    <w:p w14:paraId="7C6FD5A8" w14:textId="77777777" w:rsidR="008B77A8" w:rsidRDefault="008B77A8" w:rsidP="00AF696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rPr>
          <w:rFonts w:asciiTheme="majorHAnsi" w:hAnsiTheme="majorHAnsi" w:cstheme="majorHAnsi"/>
          <w:i/>
          <w:iCs/>
          <w:color w:val="44546A" w:themeColor="text2"/>
          <w:sz w:val="20"/>
          <w:szCs w:val="20"/>
        </w:rPr>
      </w:pPr>
    </w:p>
    <w:p w14:paraId="3F03B057" w14:textId="24761B8E" w:rsidR="00AF6968" w:rsidRPr="008B77A8" w:rsidRDefault="008B77A8" w:rsidP="00AF696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rPr>
          <w:color w:val="44546A" w:themeColor="text2"/>
        </w:rPr>
      </w:pPr>
      <w:r w:rsidRPr="008B77A8">
        <w:rPr>
          <w:color w:val="44546A" w:themeColor="text2"/>
        </w:rPr>
        <w:t>References</w:t>
      </w:r>
    </w:p>
    <w:p w14:paraId="499B1DA1" w14:textId="77777777" w:rsidR="00E94886" w:rsidRPr="0050306E" w:rsidRDefault="00E94886" w:rsidP="00707CE8">
      <w:pPr>
        <w:shd w:val="clear" w:color="auto" w:fill="FFFFFF"/>
        <w:ind w:left="425" w:hanging="425"/>
        <w:contextualSpacing/>
        <w:rPr>
          <w:rFonts w:asciiTheme="majorHAnsi" w:hAnsiTheme="majorHAnsi" w:cstheme="majorHAnsi"/>
          <w:color w:val="44546A" w:themeColor="text2"/>
          <w:sz w:val="18"/>
          <w:szCs w:val="18"/>
        </w:rPr>
      </w:pPr>
      <w:r w:rsidRPr="0050306E">
        <w:rPr>
          <w:rFonts w:asciiTheme="majorHAnsi" w:hAnsiTheme="majorHAnsi" w:cstheme="majorHAnsi"/>
          <w:color w:val="44546A" w:themeColor="text2"/>
          <w:sz w:val="18"/>
          <w:szCs w:val="18"/>
        </w:rPr>
        <w:t>O’Neill, G (Ed) (2011). </w:t>
      </w:r>
      <w:hyperlink r:id="rId8" w:tgtFrame="_blank" w:tooltip="A Practitioner's Guide to Choice of Assessment Methods within a Module" w:history="1">
        <w:r w:rsidRPr="0050306E">
          <w:rPr>
            <w:rStyle w:val="Hyperlink"/>
            <w:rFonts w:asciiTheme="majorHAnsi" w:hAnsiTheme="majorHAnsi" w:cstheme="majorHAnsi"/>
            <w:i/>
            <w:iCs/>
            <w:color w:val="44546A" w:themeColor="text2"/>
            <w:sz w:val="18"/>
            <w:szCs w:val="18"/>
          </w:rPr>
          <w:t>A Practitioner's Guide to Choice of Assessment Methods within a Module</w:t>
        </w:r>
      </w:hyperlink>
      <w:r w:rsidRPr="0050306E">
        <w:rPr>
          <w:rFonts w:asciiTheme="majorHAnsi" w:hAnsiTheme="majorHAnsi" w:cstheme="majorHAnsi"/>
          <w:color w:val="44546A" w:themeColor="text2"/>
          <w:sz w:val="18"/>
          <w:szCs w:val="18"/>
        </w:rPr>
        <w:t> Dublin: UCD Teaching and Learning, </w:t>
      </w:r>
    </w:p>
    <w:p w14:paraId="62453B36" w14:textId="7E69D688" w:rsidR="00E91EE3" w:rsidRPr="0050306E" w:rsidRDefault="00E94886" w:rsidP="00707CE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425" w:hanging="425"/>
        <w:contextualSpacing/>
        <w:rPr>
          <w:rStyle w:val="Strong"/>
          <w:rFonts w:asciiTheme="majorHAnsi" w:hAnsiTheme="majorHAnsi" w:cstheme="majorHAnsi"/>
          <w:b w:val="0"/>
          <w:bCs w:val="0"/>
          <w:color w:val="44546A" w:themeColor="text2"/>
          <w:sz w:val="18"/>
          <w:szCs w:val="18"/>
        </w:rPr>
      </w:pPr>
      <w:r w:rsidRPr="0050306E">
        <w:rPr>
          <w:rStyle w:val="Strong"/>
          <w:rFonts w:asciiTheme="majorHAnsi" w:hAnsiTheme="majorHAnsi" w:cstheme="majorHAnsi"/>
          <w:b w:val="0"/>
          <w:bCs w:val="0"/>
          <w:color w:val="44546A" w:themeColor="text2"/>
          <w:sz w:val="18"/>
          <w:szCs w:val="18"/>
        </w:rPr>
        <w:t>O’Neill, G. (2017) </w:t>
      </w:r>
      <w:hyperlink r:id="rId9" w:tgtFrame="_blank" w:history="1">
        <w:r w:rsidRPr="0050306E">
          <w:rPr>
            <w:rStyle w:val="Hyperlink"/>
            <w:rFonts w:asciiTheme="majorHAnsi" w:hAnsiTheme="majorHAnsi" w:cstheme="majorHAnsi"/>
            <w:color w:val="44546A" w:themeColor="text2"/>
            <w:sz w:val="18"/>
            <w:szCs w:val="18"/>
          </w:rPr>
          <w:t>It’s not fair! Students and staff views on the equity of the procedures and outcomes of students’ choice of assessment methods</w:t>
        </w:r>
      </w:hyperlink>
      <w:r w:rsidRPr="0050306E">
        <w:rPr>
          <w:rStyle w:val="Strong"/>
          <w:rFonts w:asciiTheme="majorHAnsi" w:hAnsiTheme="majorHAnsi" w:cstheme="majorHAnsi"/>
          <w:b w:val="0"/>
          <w:bCs w:val="0"/>
          <w:color w:val="44546A" w:themeColor="text2"/>
          <w:sz w:val="18"/>
          <w:szCs w:val="18"/>
        </w:rPr>
        <w:t>, </w:t>
      </w:r>
      <w:r w:rsidRPr="0050306E">
        <w:rPr>
          <w:rStyle w:val="Emphasis"/>
          <w:rFonts w:asciiTheme="majorHAnsi" w:hAnsiTheme="majorHAnsi" w:cstheme="majorHAnsi"/>
          <w:color w:val="44546A" w:themeColor="text2"/>
          <w:sz w:val="18"/>
          <w:szCs w:val="18"/>
        </w:rPr>
        <w:t>Irish Educational Studies</w:t>
      </w:r>
      <w:r w:rsidRPr="0050306E">
        <w:rPr>
          <w:rStyle w:val="Strong"/>
          <w:rFonts w:asciiTheme="majorHAnsi" w:hAnsiTheme="majorHAnsi" w:cstheme="majorHAnsi"/>
          <w:b w:val="0"/>
          <w:bCs w:val="0"/>
          <w:color w:val="44546A" w:themeColor="text2"/>
          <w:sz w:val="18"/>
          <w:szCs w:val="18"/>
        </w:rPr>
        <w:t>, 36:2, 221-236</w:t>
      </w:r>
    </w:p>
    <w:p w14:paraId="3D580D7A" w14:textId="13AB545F" w:rsidR="00E94886" w:rsidRPr="007A183D" w:rsidRDefault="00E94886" w:rsidP="00707CE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425" w:hanging="425"/>
        <w:contextualSpacing/>
        <w:rPr>
          <w:rFonts w:asciiTheme="majorHAnsi" w:hAnsiTheme="majorHAnsi" w:cstheme="majorHAnsi"/>
          <w:color w:val="44546A" w:themeColor="text2"/>
          <w:sz w:val="18"/>
          <w:szCs w:val="18"/>
        </w:rPr>
      </w:pPr>
      <w:r w:rsidRPr="007A183D">
        <w:rPr>
          <w:rStyle w:val="Strong"/>
          <w:rFonts w:asciiTheme="majorHAnsi" w:hAnsiTheme="majorHAnsi" w:cstheme="majorHAnsi"/>
          <w:b w:val="0"/>
          <w:bCs w:val="0"/>
          <w:color w:val="44546A" w:themeColor="text2"/>
          <w:sz w:val="18"/>
          <w:szCs w:val="18"/>
        </w:rPr>
        <w:t xml:space="preserve">UCD T&amp;L (2022c) </w:t>
      </w:r>
      <w:hyperlink r:id="rId10" w:history="1">
        <w:r w:rsidR="00707CE8" w:rsidRPr="00E95B73">
          <w:rPr>
            <w:rStyle w:val="Hyperlink"/>
            <w:rFonts w:asciiTheme="majorHAnsi" w:hAnsiTheme="majorHAnsi" w:cstheme="majorHAnsi"/>
            <w:i/>
            <w:iCs/>
            <w:color w:val="44546A" w:themeColor="text2"/>
            <w:sz w:val="18"/>
            <w:szCs w:val="18"/>
            <w:lang w:val="en-GB"/>
          </w:rPr>
          <w:t>Students Views on Choice of Assessment Methods</w:t>
        </w:r>
        <w:r w:rsidR="00707CE8" w:rsidRPr="00E95B73">
          <w:rPr>
            <w:rStyle w:val="Hyperlink"/>
            <w:rFonts w:asciiTheme="majorHAnsi" w:hAnsiTheme="majorHAnsi" w:cstheme="majorHAnsi"/>
            <w:color w:val="44546A" w:themeColor="text2"/>
            <w:sz w:val="18"/>
            <w:szCs w:val="18"/>
          </w:rPr>
          <w:t xml:space="preserve"> (evaluation tool).</w:t>
        </w:r>
      </w:hyperlink>
      <w:r w:rsidR="00707CE8" w:rsidRPr="007A183D">
        <w:rPr>
          <w:rStyle w:val="Strong"/>
          <w:rFonts w:asciiTheme="majorHAnsi" w:hAnsiTheme="majorHAnsi" w:cstheme="majorHAnsi"/>
          <w:b w:val="0"/>
          <w:bCs w:val="0"/>
          <w:color w:val="44546A" w:themeColor="text2"/>
          <w:sz w:val="18"/>
          <w:szCs w:val="18"/>
        </w:rPr>
        <w:t xml:space="preserve"> </w:t>
      </w:r>
      <w:r w:rsidRPr="007A183D">
        <w:rPr>
          <w:rStyle w:val="Strong"/>
          <w:rFonts w:asciiTheme="majorHAnsi" w:hAnsiTheme="majorHAnsi" w:cstheme="majorHAnsi"/>
          <w:b w:val="0"/>
          <w:bCs w:val="0"/>
          <w:color w:val="44546A" w:themeColor="text2"/>
          <w:sz w:val="18"/>
          <w:szCs w:val="18"/>
        </w:rPr>
        <w:t>Dublin</w:t>
      </w:r>
      <w:r w:rsidR="00707CE8" w:rsidRPr="007A183D">
        <w:rPr>
          <w:rStyle w:val="Strong"/>
          <w:rFonts w:asciiTheme="majorHAnsi" w:hAnsiTheme="majorHAnsi" w:cstheme="majorHAnsi"/>
          <w:b w:val="0"/>
          <w:bCs w:val="0"/>
          <w:color w:val="44546A" w:themeColor="text2"/>
          <w:sz w:val="18"/>
          <w:szCs w:val="18"/>
        </w:rPr>
        <w:t>:</w:t>
      </w:r>
      <w:r w:rsidRPr="007A183D">
        <w:rPr>
          <w:rStyle w:val="Strong"/>
          <w:rFonts w:asciiTheme="majorHAnsi" w:hAnsiTheme="majorHAnsi" w:cstheme="majorHAnsi"/>
          <w:b w:val="0"/>
          <w:bCs w:val="0"/>
          <w:color w:val="44546A" w:themeColor="text2"/>
          <w:sz w:val="18"/>
          <w:szCs w:val="18"/>
        </w:rPr>
        <w:t xml:space="preserve"> UCD T&amp;L</w:t>
      </w:r>
      <w:r w:rsidR="003A7ABF" w:rsidRPr="007A183D">
        <w:rPr>
          <w:rStyle w:val="Strong"/>
          <w:rFonts w:asciiTheme="majorHAnsi" w:hAnsiTheme="majorHAnsi" w:cstheme="majorHAnsi"/>
          <w:b w:val="0"/>
          <w:bCs w:val="0"/>
          <w:color w:val="44546A" w:themeColor="text2"/>
          <w:sz w:val="18"/>
          <w:szCs w:val="18"/>
        </w:rPr>
        <w:t xml:space="preserve"> </w:t>
      </w:r>
    </w:p>
    <w:sectPr w:rsidR="00E94886" w:rsidRPr="007A18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964" w:bottom="1134" w:left="964" w:header="68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65003" w14:textId="77777777" w:rsidR="00476484" w:rsidRDefault="00476484">
      <w:r>
        <w:separator/>
      </w:r>
    </w:p>
  </w:endnote>
  <w:endnote w:type="continuationSeparator" w:id="0">
    <w:p w14:paraId="1D04FDEB" w14:textId="77777777" w:rsidR="00476484" w:rsidRDefault="0047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inionPro-Regular">
    <w:altName w:val="Cambria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2D209" w14:textId="77777777" w:rsidR="0099635F" w:rsidRDefault="009963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7ADB" w14:textId="77777777" w:rsidR="00E91EE3" w:rsidRDefault="00560C7C">
    <w:pPr>
      <w:rPr>
        <w:color w:val="003863"/>
        <w:sz w:val="22"/>
        <w:szCs w:val="22"/>
      </w:rPr>
    </w:pPr>
    <w:r>
      <w:rPr>
        <w:color w:val="003863"/>
        <w:sz w:val="22"/>
        <w:szCs w:val="22"/>
      </w:rPr>
      <w:fldChar w:fldCharType="begin"/>
    </w:r>
    <w:r>
      <w:rPr>
        <w:color w:val="003863"/>
        <w:sz w:val="22"/>
        <w:szCs w:val="22"/>
      </w:rPr>
      <w:instrText>PAGE</w:instrText>
    </w:r>
    <w:r>
      <w:rPr>
        <w:color w:val="003863"/>
        <w:sz w:val="22"/>
        <w:szCs w:val="22"/>
      </w:rPr>
      <w:fldChar w:fldCharType="separate"/>
    </w:r>
    <w:r w:rsidR="001B2FBB">
      <w:rPr>
        <w:noProof/>
        <w:color w:val="003863"/>
        <w:sz w:val="22"/>
        <w:szCs w:val="22"/>
      </w:rPr>
      <w:t>2</w:t>
    </w:r>
    <w:r>
      <w:rPr>
        <w:color w:val="003863"/>
        <w:sz w:val="22"/>
        <w:szCs w:val="22"/>
      </w:rPr>
      <w:fldChar w:fldCharType="end"/>
    </w:r>
  </w:p>
  <w:p w14:paraId="258909FD" w14:textId="77777777" w:rsidR="00E91EE3" w:rsidRDefault="00E91E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C8EF7" w14:textId="77777777" w:rsidR="00E91EE3" w:rsidRDefault="00560C7C">
    <w:pPr>
      <w:rPr>
        <w:color w:val="003863"/>
        <w:sz w:val="22"/>
        <w:szCs w:val="22"/>
      </w:rPr>
    </w:pPr>
    <w:r>
      <w:rPr>
        <w:color w:val="003863"/>
        <w:sz w:val="22"/>
        <w:szCs w:val="22"/>
      </w:rPr>
      <w:fldChar w:fldCharType="begin"/>
    </w:r>
    <w:r>
      <w:rPr>
        <w:color w:val="003863"/>
        <w:sz w:val="22"/>
        <w:szCs w:val="22"/>
      </w:rPr>
      <w:instrText>PAGE</w:instrText>
    </w:r>
    <w:r>
      <w:rPr>
        <w:color w:val="003863"/>
        <w:sz w:val="22"/>
        <w:szCs w:val="22"/>
      </w:rPr>
      <w:fldChar w:fldCharType="separate"/>
    </w:r>
    <w:r w:rsidR="001B2FBB">
      <w:rPr>
        <w:noProof/>
        <w:color w:val="003863"/>
        <w:sz w:val="22"/>
        <w:szCs w:val="22"/>
      </w:rPr>
      <w:t>1</w:t>
    </w:r>
    <w:r>
      <w:rPr>
        <w:color w:val="003863"/>
        <w:sz w:val="22"/>
        <w:szCs w:val="22"/>
      </w:rPr>
      <w:fldChar w:fldCharType="end"/>
    </w:r>
  </w:p>
  <w:p w14:paraId="5BB55CB7" w14:textId="77777777" w:rsidR="00E91EE3" w:rsidRDefault="00E91E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2462D" w14:textId="77777777" w:rsidR="00476484" w:rsidRDefault="00476484">
      <w:r>
        <w:separator/>
      </w:r>
    </w:p>
  </w:footnote>
  <w:footnote w:type="continuationSeparator" w:id="0">
    <w:p w14:paraId="5FC6CD9E" w14:textId="77777777" w:rsidR="00476484" w:rsidRDefault="00476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2D897" w14:textId="77777777" w:rsidR="0099635F" w:rsidRDefault="009963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9DD6B" w14:textId="77777777" w:rsidR="00E91EE3" w:rsidRDefault="00560C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E6CFF9C" wp14:editId="286BD553">
          <wp:simplePos x="0" y="0"/>
          <wp:positionH relativeFrom="column">
            <wp:posOffset>-631535</wp:posOffset>
          </wp:positionH>
          <wp:positionV relativeFrom="paragraph">
            <wp:posOffset>-418867</wp:posOffset>
          </wp:positionV>
          <wp:extent cx="7556664" cy="10680700"/>
          <wp:effectExtent l="0" t="0" r="0" b="0"/>
          <wp:wrapNone/>
          <wp:docPr id="13" name="image3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664" cy="1068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74D97" w14:textId="3AB6B9C2" w:rsidR="00E91EE3" w:rsidRDefault="005541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-336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F1C010A" wp14:editId="73482125">
              <wp:simplePos x="0" y="0"/>
              <wp:positionH relativeFrom="column">
                <wp:posOffset>5377353</wp:posOffset>
              </wp:positionH>
              <wp:positionV relativeFrom="paragraph">
                <wp:posOffset>-13970</wp:posOffset>
              </wp:positionV>
              <wp:extent cx="923108" cy="505460"/>
              <wp:effectExtent l="0" t="0" r="0" b="0"/>
              <wp:wrapNone/>
              <wp:docPr id="11" name="Rectangl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3108" cy="505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418DE" w14:textId="124F8D0A" w:rsidR="00E91EE3" w:rsidRPr="0099635F" w:rsidRDefault="00221485" w:rsidP="00221485">
                          <w:pPr>
                            <w:jc w:val="center"/>
                            <w:textDirection w:val="btLr"/>
                            <w:rPr>
                              <w:sz w:val="22"/>
                              <w:szCs w:val="22"/>
                              <w:lang w:val="en-GB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n-GB"/>
                            </w:rPr>
                            <w:t>ACTIVITY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1C010A" id="Rectangle 11" o:spid="_x0000_s1026" alt="&quot;&quot;" style="position:absolute;margin-left:423.4pt;margin-top:-1.1pt;width:72.7pt;height:3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" filled="f" stroked="f">
              <v:textbox inset="2.53958mm,1.2694mm,2.53958mm,1.2694mm">
                <w:txbxContent>
                  <w:p w14:paraId="68A418DE" w14:textId="124F8D0A" w:rsidR="00E91EE3" w:rsidRPr="0099635F" w:rsidRDefault="00221485" w:rsidP="00221485">
                    <w:pPr>
                      <w:jc w:val="center"/>
                      <w:textDirection w:val="btLr"/>
                      <w:rPr>
                        <w:sz w:val="22"/>
                        <w:szCs w:val="22"/>
                        <w:lang w:val="en-GB"/>
                      </w:rPr>
                    </w:pPr>
                    <w:r>
                      <w:rPr>
                        <w:sz w:val="22"/>
                        <w:szCs w:val="22"/>
                        <w:lang w:val="en-GB"/>
                      </w:rPr>
                      <w:t>ACTIVITY</w:t>
                    </w:r>
                  </w:p>
                </w:txbxContent>
              </v:textbox>
            </v:rect>
          </w:pict>
        </mc:Fallback>
      </mc:AlternateContent>
    </w:r>
    <w:r w:rsidR="00560C7C">
      <w:rPr>
        <w:noProof/>
      </w:rPr>
      <w:drawing>
        <wp:anchor distT="0" distB="0" distL="0" distR="0" simplePos="0" relativeHeight="251659264" behindDoc="1" locked="0" layoutInCell="1" hidden="0" allowOverlap="1" wp14:anchorId="62A05493" wp14:editId="13FD4A7A">
          <wp:simplePos x="0" y="0"/>
          <wp:positionH relativeFrom="column">
            <wp:posOffset>-635000</wp:posOffset>
          </wp:positionH>
          <wp:positionV relativeFrom="paragraph">
            <wp:posOffset>-431800</wp:posOffset>
          </wp:positionV>
          <wp:extent cx="7581900" cy="10641875"/>
          <wp:effectExtent l="0" t="0" r="0" b="7620"/>
          <wp:wrapNone/>
          <wp:docPr id="12" name="image2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2805" cy="10643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74936"/>
    <w:multiLevelType w:val="multilevel"/>
    <w:tmpl w:val="AF68C388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A51593F"/>
    <w:multiLevelType w:val="hybridMultilevel"/>
    <w:tmpl w:val="FED0F53E"/>
    <w:lvl w:ilvl="0" w:tplc="D9D8C570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8760A"/>
    <w:multiLevelType w:val="hybridMultilevel"/>
    <w:tmpl w:val="7AA6C54C"/>
    <w:lvl w:ilvl="0" w:tplc="0764C0F2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7B4BA9"/>
    <w:multiLevelType w:val="hybridMultilevel"/>
    <w:tmpl w:val="929CD3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E3"/>
    <w:rsid w:val="00095508"/>
    <w:rsid w:val="001123E1"/>
    <w:rsid w:val="001B2FBB"/>
    <w:rsid w:val="001D7296"/>
    <w:rsid w:val="00221485"/>
    <w:rsid w:val="00237E56"/>
    <w:rsid w:val="003119D6"/>
    <w:rsid w:val="00340AC1"/>
    <w:rsid w:val="003728EB"/>
    <w:rsid w:val="003A7ABF"/>
    <w:rsid w:val="003B50AE"/>
    <w:rsid w:val="003C082A"/>
    <w:rsid w:val="00476484"/>
    <w:rsid w:val="004A5236"/>
    <w:rsid w:val="0050306E"/>
    <w:rsid w:val="005541C3"/>
    <w:rsid w:val="00557CDD"/>
    <w:rsid w:val="00560C7C"/>
    <w:rsid w:val="00574327"/>
    <w:rsid w:val="00661291"/>
    <w:rsid w:val="006A7EB5"/>
    <w:rsid w:val="006C1649"/>
    <w:rsid w:val="00707CE8"/>
    <w:rsid w:val="00730A6C"/>
    <w:rsid w:val="00757279"/>
    <w:rsid w:val="00765C3E"/>
    <w:rsid w:val="00765C94"/>
    <w:rsid w:val="00795381"/>
    <w:rsid w:val="007A183D"/>
    <w:rsid w:val="007F605C"/>
    <w:rsid w:val="00831085"/>
    <w:rsid w:val="008B77A8"/>
    <w:rsid w:val="00900CAD"/>
    <w:rsid w:val="009931A7"/>
    <w:rsid w:val="0099635F"/>
    <w:rsid w:val="00A00E71"/>
    <w:rsid w:val="00AF6968"/>
    <w:rsid w:val="00B00476"/>
    <w:rsid w:val="00B017DF"/>
    <w:rsid w:val="00B138A6"/>
    <w:rsid w:val="00B82C65"/>
    <w:rsid w:val="00C746B0"/>
    <w:rsid w:val="00CA614E"/>
    <w:rsid w:val="00CC10A3"/>
    <w:rsid w:val="00D03C5B"/>
    <w:rsid w:val="00D31203"/>
    <w:rsid w:val="00E91EE3"/>
    <w:rsid w:val="00E94886"/>
    <w:rsid w:val="00E95B73"/>
    <w:rsid w:val="00F6357A"/>
    <w:rsid w:val="00F83A8C"/>
    <w:rsid w:val="00FC445F"/>
    <w:rsid w:val="00FC676F"/>
    <w:rsid w:val="00FD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51C43"/>
  <w15:docId w15:val="{4CF7DE47-C2A7-4214-8D99-E6F1397D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79A"/>
    <w:pPr>
      <w:spacing w:after="80" w:line="480" w:lineRule="exact"/>
      <w:outlineLvl w:val="0"/>
    </w:pPr>
    <w:rPr>
      <w:rFonts w:asciiTheme="majorHAnsi" w:eastAsiaTheme="minorEastAsia" w:hAnsiTheme="majorHAnsi" w:cs="Times New Roman (Body CS)"/>
      <w:b/>
      <w:caps/>
      <w:color w:val="003863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07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heading 3"/>
    <w:basedOn w:val="Normal"/>
    <w:next w:val="Normal"/>
    <w:link w:val="Heading3Char"/>
    <w:uiPriority w:val="9"/>
    <w:unhideWhenUsed/>
    <w:qFormat/>
    <w:rsid w:val="008041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041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957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7F4"/>
  </w:style>
  <w:style w:type="paragraph" w:styleId="Footer">
    <w:name w:val="footer"/>
    <w:basedOn w:val="Normal"/>
    <w:link w:val="FooterChar"/>
    <w:uiPriority w:val="99"/>
    <w:unhideWhenUsed/>
    <w:rsid w:val="002957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7F4"/>
  </w:style>
  <w:style w:type="character" w:styleId="PageNumber">
    <w:name w:val="page number"/>
    <w:basedOn w:val="DefaultParagraphFont"/>
    <w:uiPriority w:val="99"/>
    <w:semiHidden/>
    <w:unhideWhenUsed/>
    <w:rsid w:val="003075C9"/>
    <w:rPr>
      <w:rFonts w:asciiTheme="minorHAnsi" w:hAnsiTheme="minorHAnsi"/>
      <w:b w:val="0"/>
      <w:i w:val="0"/>
      <w:spacing w:val="0"/>
      <w:w w:val="100"/>
      <w:position w:val="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79A"/>
    <w:rPr>
      <w:rFonts w:asciiTheme="majorHAnsi" w:eastAsiaTheme="minorEastAsia" w:hAnsiTheme="majorHAnsi" w:cs="Times New Roman (Body CS)"/>
      <w:b/>
      <w:caps/>
      <w:color w:val="003863"/>
      <w:sz w:val="44"/>
      <w:szCs w:val="32"/>
    </w:rPr>
  </w:style>
  <w:style w:type="paragraph" w:customStyle="1" w:styleId="BasicParagraph">
    <w:name w:val="[Basic Paragraph]"/>
    <w:basedOn w:val="Normal"/>
    <w:link w:val="BasicParagraphChar"/>
    <w:uiPriority w:val="99"/>
    <w:rsid w:val="00D1079A"/>
    <w:pPr>
      <w:tabs>
        <w:tab w:val="left" w:pos="284"/>
      </w:tabs>
      <w:autoSpaceDE w:val="0"/>
      <w:autoSpaceDN w:val="0"/>
      <w:adjustRightInd w:val="0"/>
      <w:spacing w:line="288" w:lineRule="auto"/>
      <w:textAlignment w:val="center"/>
    </w:pPr>
    <w:rPr>
      <w:rFonts w:asciiTheme="majorHAnsi" w:eastAsiaTheme="minorEastAsia" w:hAnsiTheme="majorHAnsi" w:cs="MinionPro-Regular"/>
      <w:color w:val="000000"/>
      <w:lang w:val="en-GB"/>
    </w:rPr>
  </w:style>
  <w:style w:type="paragraph" w:customStyle="1" w:styleId="bullet">
    <w:name w:val="bullet"/>
    <w:basedOn w:val="BasicParagraph"/>
    <w:link w:val="bulletChar"/>
    <w:qFormat/>
    <w:rsid w:val="00D1079A"/>
    <w:pPr>
      <w:numPr>
        <w:numId w:val="1"/>
      </w:numPr>
    </w:pPr>
  </w:style>
  <w:style w:type="paragraph" w:customStyle="1" w:styleId="Subheading2">
    <w:name w:val="Subheading 2"/>
    <w:basedOn w:val="Heading2"/>
    <w:qFormat/>
    <w:rsid w:val="0080413C"/>
    <w:pPr>
      <w:keepNext w:val="0"/>
      <w:keepLines w:val="0"/>
      <w:spacing w:before="0" w:after="120" w:line="340" w:lineRule="exact"/>
    </w:pPr>
    <w:rPr>
      <w:rFonts w:eastAsiaTheme="minorEastAsia" w:cs="Times New Roman (Body CS)"/>
      <w:caps/>
      <w:color w:val="003863"/>
      <w:sz w:val="28"/>
      <w:szCs w:val="28"/>
    </w:rPr>
  </w:style>
  <w:style w:type="paragraph" w:customStyle="1" w:styleId="SUBHEADING1">
    <w:name w:val="SUBHEADING 1"/>
    <w:basedOn w:val="Heading2"/>
    <w:qFormat/>
    <w:rsid w:val="00942402"/>
    <w:pPr>
      <w:keepNext w:val="0"/>
      <w:keepLines w:val="0"/>
      <w:spacing w:before="0" w:after="360" w:line="340" w:lineRule="exact"/>
    </w:pPr>
    <w:rPr>
      <w:rFonts w:eastAsiaTheme="minorEastAsia" w:cs="Times New Roman (Body CS)"/>
      <w:color w:val="003863"/>
      <w:sz w:val="36"/>
      <w:szCs w:val="28"/>
    </w:rPr>
  </w:style>
  <w:style w:type="paragraph" w:customStyle="1" w:styleId="Emhasise">
    <w:name w:val="Emhasise"/>
    <w:basedOn w:val="Normal"/>
    <w:qFormat/>
    <w:rsid w:val="00D1079A"/>
    <w:pPr>
      <w:spacing w:after="200" w:line="276" w:lineRule="auto"/>
      <w:ind w:firstLine="284"/>
      <w:jc w:val="both"/>
    </w:pPr>
    <w:rPr>
      <w:rFonts w:asciiTheme="majorHAnsi" w:eastAsiaTheme="minorEastAsia" w:hAnsiTheme="majorHAnsi" w:cstheme="majorHAnsi"/>
      <w:i/>
      <w:iCs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07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D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D6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aliases w:val="Subheading 3 Char"/>
    <w:basedOn w:val="DefaultParagraphFont"/>
    <w:link w:val="Heading3"/>
    <w:uiPriority w:val="9"/>
    <w:rsid w:val="0080413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leChar">
    <w:name w:val="Title Char"/>
    <w:basedOn w:val="DefaultParagraphFont"/>
    <w:link w:val="Title"/>
    <w:uiPriority w:val="10"/>
    <w:rsid w:val="00804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Quotations">
    <w:name w:val="Quotations"/>
    <w:basedOn w:val="bullet"/>
    <w:link w:val="QuotationsChar"/>
    <w:qFormat/>
    <w:rsid w:val="00EE27C3"/>
    <w:pPr>
      <w:numPr>
        <w:numId w:val="0"/>
      </w:numPr>
      <w:shd w:val="clear" w:color="auto" w:fill="F2F2F2" w:themeFill="background1" w:themeFillShade="F2"/>
      <w:spacing w:before="120" w:after="120" w:line="240" w:lineRule="auto"/>
      <w:ind w:left="284" w:right="284"/>
    </w:pPr>
    <w:rPr>
      <w:rFonts w:asciiTheme="minorHAnsi" w:hAnsiTheme="minorHAnsi"/>
      <w:color w:val="003863"/>
    </w:rPr>
  </w:style>
  <w:style w:type="table" w:styleId="TableGrid">
    <w:name w:val="Table Grid"/>
    <w:basedOn w:val="TableNormal"/>
    <w:uiPriority w:val="59"/>
    <w:rsid w:val="00EE2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uiPriority w:val="99"/>
    <w:rsid w:val="00EE27C3"/>
    <w:rPr>
      <w:rFonts w:asciiTheme="majorHAnsi" w:eastAsiaTheme="minorEastAsia" w:hAnsiTheme="majorHAnsi" w:cs="MinionPro-Regular"/>
      <w:color w:val="000000"/>
      <w:lang w:val="en-GB"/>
    </w:rPr>
  </w:style>
  <w:style w:type="character" w:customStyle="1" w:styleId="bulletChar">
    <w:name w:val="bullet Char"/>
    <w:basedOn w:val="BasicParagraphChar"/>
    <w:link w:val="bullet"/>
    <w:rsid w:val="00EE27C3"/>
    <w:rPr>
      <w:rFonts w:asciiTheme="majorHAnsi" w:eastAsiaTheme="minorEastAsia" w:hAnsiTheme="majorHAnsi" w:cs="MinionPro-Regular"/>
      <w:color w:val="000000"/>
      <w:lang w:val="en-GB"/>
    </w:rPr>
  </w:style>
  <w:style w:type="character" w:customStyle="1" w:styleId="QuotationsChar">
    <w:name w:val="Quotations Char"/>
    <w:basedOn w:val="bulletChar"/>
    <w:link w:val="Quotations"/>
    <w:rsid w:val="00EE27C3"/>
    <w:rPr>
      <w:rFonts w:asciiTheme="majorHAnsi" w:eastAsiaTheme="minorEastAsia" w:hAnsiTheme="majorHAnsi" w:cs="MinionPro-Regular"/>
      <w:color w:val="003863"/>
      <w:shd w:val="clear" w:color="auto" w:fill="F2F2F2" w:themeFill="background1" w:themeFillShade="F2"/>
      <w:lang w:val="en-GB"/>
    </w:rPr>
  </w:style>
  <w:style w:type="paragraph" w:customStyle="1" w:styleId="Normal1">
    <w:name w:val="Normal1"/>
    <w:link w:val="Normal1Char"/>
    <w:rsid w:val="00EC518B"/>
    <w:pPr>
      <w:spacing w:after="200" w:line="276" w:lineRule="auto"/>
    </w:pPr>
    <w:rPr>
      <w:sz w:val="22"/>
      <w:szCs w:val="22"/>
    </w:rPr>
  </w:style>
  <w:style w:type="table" w:customStyle="1" w:styleId="1">
    <w:name w:val="1"/>
    <w:basedOn w:val="TableNormal"/>
    <w:rsid w:val="00EC518B"/>
    <w:pPr>
      <w:spacing w:after="200" w:line="276" w:lineRule="auto"/>
    </w:pPr>
    <w:rPr>
      <w:sz w:val="22"/>
      <w:szCs w:val="22"/>
    </w:rPr>
    <w:tblPr>
      <w:tblStyleRowBandSize w:val="1"/>
      <w:tblStyleColBandSize w:val="1"/>
    </w:tblPr>
  </w:style>
  <w:style w:type="paragraph" w:customStyle="1" w:styleId="TableStyle">
    <w:name w:val="Table Style"/>
    <w:basedOn w:val="Normal1"/>
    <w:link w:val="TableStyleChar"/>
    <w:rsid w:val="00EC518B"/>
    <w:pPr>
      <w:spacing w:after="0" w:line="240" w:lineRule="auto"/>
      <w:jc w:val="center"/>
    </w:pPr>
    <w:rPr>
      <w:rFonts w:eastAsia="Times New Roman" w:cs="Times New Roman"/>
      <w:b/>
      <w:color w:val="44546A" w:themeColor="text2"/>
      <w:sz w:val="24"/>
      <w:szCs w:val="24"/>
      <w:lang w:val="ga-IE"/>
    </w:rPr>
  </w:style>
  <w:style w:type="table" w:customStyle="1" w:styleId="TLTableStyle">
    <w:name w:val="T&amp;L Table Style"/>
    <w:basedOn w:val="TableNormal"/>
    <w:uiPriority w:val="99"/>
    <w:rsid w:val="00EC518B"/>
    <w:tblPr/>
  </w:style>
  <w:style w:type="character" w:customStyle="1" w:styleId="Normal1Char">
    <w:name w:val="Normal1 Char"/>
    <w:basedOn w:val="DefaultParagraphFont"/>
    <w:link w:val="Normal1"/>
    <w:rsid w:val="00EC518B"/>
    <w:rPr>
      <w:sz w:val="22"/>
      <w:szCs w:val="22"/>
    </w:rPr>
  </w:style>
  <w:style w:type="character" w:customStyle="1" w:styleId="TableStyleChar">
    <w:name w:val="Table Style Char"/>
    <w:basedOn w:val="Normal1Char"/>
    <w:link w:val="TableStyle"/>
    <w:rsid w:val="00EC518B"/>
    <w:rPr>
      <w:rFonts w:eastAsia="Times New Roman" w:cs="Times New Roman"/>
      <w:b/>
      <w:color w:val="44546A" w:themeColor="text2"/>
      <w:sz w:val="22"/>
      <w:szCs w:val="22"/>
      <w:lang w:val="ga-IE"/>
    </w:rPr>
  </w:style>
  <w:style w:type="paragraph" w:styleId="Caption">
    <w:name w:val="caption"/>
    <w:basedOn w:val="Normal"/>
    <w:next w:val="Normal"/>
    <w:uiPriority w:val="35"/>
    <w:unhideWhenUsed/>
    <w:qFormat/>
    <w:rsid w:val="00D86D84"/>
    <w:pPr>
      <w:spacing w:after="200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uiPriority w:val="99"/>
    <w:unhideWhenUsed/>
    <w:rsid w:val="00D03C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164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94886"/>
    <w:rPr>
      <w:b/>
      <w:bCs/>
    </w:rPr>
  </w:style>
  <w:style w:type="character" w:styleId="Emphasis">
    <w:name w:val="Emphasis"/>
    <w:basedOn w:val="DefaultParagraphFont"/>
    <w:uiPriority w:val="20"/>
    <w:qFormat/>
    <w:rsid w:val="00E9488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A1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.ie/teaching/t4media/choice_of_assessment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cd.ie/teaching/t4media/students_views_on_choice_of_assessment_methods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80/03323315.2017.1324805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ispBr2YCMe92gocwkUYe9Hjihg==">AMUW2mWdfy469kg9OlNjsG18E5w4J0lEgxnW8AO5dPqPpBS7J7Mhw2UcVBcqSA4vOsb7ILk5jTEs5d+idY7cN986zISj7eBAGF65vUAUAURUFV/g6U/IVt8=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INTERNATIONALISING YOUR CURRICULUM: QUICK SELF-ASSESSMENT EXERCISE</vt:lpstr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Equity Between Choice of Assessment Evaluation Tool</dc:title>
  <dc:creator>UCD Teaching and Learning</dc:creator>
  <cp:keywords>Assessment and Feedback; UCD Teaching and Learning</cp:keywords>
  <cp:lastModifiedBy>Susan Devereux</cp:lastModifiedBy>
  <cp:revision>19</cp:revision>
  <dcterms:created xsi:type="dcterms:W3CDTF">2022-01-06T16:30:00Z</dcterms:created>
  <dcterms:modified xsi:type="dcterms:W3CDTF">2022-01-12T11:23:00Z</dcterms:modified>
</cp:coreProperties>
</file>